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苏吴地评估字(2023)吴江第00399号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苏州市吴江区横扇镇</w:t>
      </w:r>
      <w:r>
        <w:rPr>
          <w:rFonts w:ascii="宋体" w:hAnsi="宋体" w:eastAsia="宋体" w:asciiTheme="minorEastAsia" w:hAnsiTheme="minorEastAsia" w:eastAsiaTheme="minorEastAsia"/>
          <w:sz w:val="24"/>
          <w:szCs w:val="24"/>
        </w:rPr>
        <w:t xml:space="preserve">盛世花苑独栋</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2023年06月30日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532675902" w:id="0"/>
      <w:bookmarkStart w:name="_Toc32222390"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估价对象位于苏州市吴江区区域范围内的盛世花苑住宅小区独栋存量房。该小区内的物业类型包括：</w:t>
      </w:r>
      <w:r>
        <w:rPr>
          <w:rFonts w:ascii="宋体"/>
          <w:sz w:val="24"/>
        </w:rPr>
        <w:t xml:space="preserve">叠加、联排、独栋</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月修订版），结合估价人员现场查勘，选取盛世花苑</w:t>
      </w:r>
      <w:r>
        <w:rPr>
          <w:rFonts w:ascii="宋体"/>
          <w:sz w:val="24"/>
        </w:rPr>
        <w:t xml:space="preserve">142幢</w:t>
      </w:r>
      <w:r>
        <w:rPr>
          <w:rFonts w:hint="eastAsia" w:ascii="宋体"/>
          <w:sz w:val="24"/>
        </w:rPr>
        <w:t xml:space="preserve">为该小区</w:t>
      </w:r>
      <w:r>
        <w:rPr>
          <w:rFonts w:ascii="宋体"/>
          <w:sz w:val="24"/>
        </w:rPr>
        <w:t xml:space="preserve">钢混结构</w:t>
      </w:r>
      <w:r>
        <w:rPr>
          <w:rFonts w:hint="eastAsia" w:ascii="宋体"/>
          <w:sz w:val="24"/>
        </w:rPr>
        <w:t xml:space="preserve">独栋的标准样本房，所在楼层</w:t>
      </w:r>
      <w:r>
        <w:rPr>
          <w:rFonts w:ascii="宋体"/>
          <w:sz w:val="24"/>
        </w:rPr>
        <w:t xml:space="preserve">1-3</w:t>
      </w:r>
      <w:r>
        <w:rPr>
          <w:rFonts w:hint="eastAsia" w:ascii="宋体"/>
          <w:sz w:val="24"/>
        </w:rPr>
        <w:t xml:space="preserve">层</w:t>
      </w:r>
      <w:r>
        <w:rPr>
          <w:rFonts w:hint="eastAsia" w:ascii="宋体"/>
          <w:sz w:val="24"/>
        </w:rPr>
        <w:t xml:space="preserve">，总层数</w:t>
      </w:r>
      <w:r>
        <w:rPr>
          <w:rFonts w:ascii="宋体"/>
          <w:sz w:val="24"/>
        </w:rPr>
        <w:t xml:space="preserve">3</w:t>
      </w:r>
      <w:r>
        <w:rPr>
          <w:rFonts w:hint="eastAsia" w:ascii="宋体"/>
          <w:sz w:val="24"/>
        </w:rPr>
        <w:t xml:space="preserve">层，建筑面积</w:t>
      </w:r>
      <w:r>
        <w:rPr>
          <w:rFonts w:ascii="宋体"/>
          <w:sz w:val="24"/>
        </w:rPr>
        <w:t xml:space="preserve">346.55</w:t>
      </w:r>
      <w:r>
        <w:rPr>
          <w:rFonts w:hint="eastAsia" w:ascii="宋体"/>
          <w:sz w:val="24"/>
        </w:rPr>
        <w:t xml:space="preserve">平方米，南北朝向，</w:t>
      </w:r>
      <w:r>
        <w:rPr>
          <w:rFonts w:ascii="宋体"/>
          <w:sz w:val="24"/>
        </w:rPr>
        <w:t xml:space="preserve">，钢混结构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2078年03月10日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2023年06月27日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bookmarkStart w:name="_GoBack" w:id="2"/>
      <w:bookmarkEnd w:id="2"/>
      <w:r>
        <w:rPr>
          <w:rFonts w:hint="eastAsia" w:ascii="宋体" w:hAnsi="宋体"/>
          <w:sz w:val="24"/>
        </w:rPr>
        <w:t xml:space="preserve">在价值时点</w:t>
      </w:r>
      <w:r>
        <w:rPr>
          <w:rFonts w:ascii="宋体" w:hAnsi="宋体"/>
          <w:sz w:val="24"/>
        </w:rPr>
        <w:t xml:space="preserve">2023年06月27日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壹万壹仟伍佰壹拾陆元整</w:t>
      </w:r>
      <w:r>
        <w:rPr>
          <w:rFonts w:hint="eastAsia" w:ascii="宋体" w:hAnsi="宋体"/>
          <w:b/>
          <w:bCs/>
          <w:sz w:val="24"/>
        </w:rPr>
        <w:t xml:space="preserve">（RMB</w:t>
      </w:r>
      <w:r>
        <w:rPr>
          <w:rFonts w:ascii="宋体" w:hAnsi="宋体"/>
          <w:b/>
          <w:bCs/>
          <w:sz w:val="24"/>
        </w:rPr>
        <w:t xml:space="preserve"> 11516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2023年06月30日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both"/>
        <w:rPr>
          <w:rFonts w:ascii="宋体" w:hAnsi="宋体" w:eastAsia="宋体" w:asciiTheme="minorEastAsia" w:hAnsiTheme="minorEastAsia" w:eastAsiaTheme="minorEastAsia"/>
          <w:sz w:val="28"/>
        </w:rPr>
      </w:pPr>
      <w:r>
        <w:rPr>
          <w:rFonts w:hint="eastAsia" w:ascii="宋体" w:hAnsi="宋体" w:eastAsia="宋体" w:asciiTheme="minorEastAsia" w:hAnsiTheme="minorEastAsia" w:eastAsiaTheme="minorEastAsia"/>
          <w:sz w:val="24"/>
        </w:rPr>
        <w:t xml:space="preserve">                                            </w:t>
      </w:r>
      <w:r>
        <w:rPr>
          <w:rFonts w:ascii="宋体" w:hAnsi="宋体"/>
          <w:sz w:val="24"/>
          <w:szCs w:val="24"/>
        </w:rPr>
        <w:t xml:space="preserve">2023年06月30日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3"/>
      <w:bookmarkStart w:name="_Toc532675903" w:id="4"/>
      <w:r>
        <w:rPr>
          <w:rFonts w:hint="eastAsia" w:ascii="楷体_GB2312" w:eastAsia="黑体"/>
        </w:rPr>
        <w:t xml:space="preserve">估 价 师 声 明</w:t>
      </w:r>
      <w:bookmarkEnd w:id="3"/>
      <w:bookmarkEnd w:id="4"/>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楷体_GB2312" w:eastAsia="楷体_GB2312"/>
          <w:sz w:val="24"/>
        </w:rPr>
      </w:pPr>
      <w:r>
        <w:rPr>
          <w:rFonts w:hint="eastAsia" w:ascii="宋体" w:hAnsi="宋体"/>
          <w:sz w:val="24"/>
        </w:rPr>
        <w:t xml:space="preserve">参加本次评估的注册房地产估价师：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pStyle w:val="Heading1"/>
        <w:jc w:val="center"/>
        <w:rPr>
          <w:rFonts w:eastAsia="黑体"/>
          <w:bCs w:val="0"/>
        </w:rPr>
      </w:pPr>
      <w:bookmarkStart w:name="_Toc532675904" w:id="5"/>
      <w:bookmarkStart w:name="_Toc32222392" w:id="6"/>
      <w:r>
        <w:rPr>
          <w:rFonts w:hint="eastAsia" w:eastAsia="黑体"/>
          <w:bCs w:val="0"/>
        </w:rPr>
        <w:t xml:space="preserve">估价的假设和限制条件</w:t>
      </w:r>
      <w:bookmarkEnd w:id="5"/>
      <w:bookmarkEnd w:id="6"/>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5.本报告作为整体使用时有效。若房地产市场无重大波动，本估价报告自出具日起一年内有效，从2023年06月30日至</w:t>
      </w:r>
      <w:r>
        <w:rPr>
          <w:rFonts w:ascii="宋体" w:hAnsi="宋体"/>
          <w:sz w:val="24"/>
        </w:rPr>
        <w:t xml:space="preserve">2024年06月29日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7"/>
      <w:r>
        <w:br w:type="page"/>
      </w:r>
    </w:p>
    <w:p>
      <w:pPr>
        <w:pStyle w:val="Heading1"/>
        <w:jc w:val="center"/>
        <w:rPr>
          <w:rFonts w:ascii="楷体_GB2312" w:eastAsia="黑体"/>
        </w:rPr>
      </w:pPr>
      <w:bookmarkStart w:name="_Toc32222393" w:id="8"/>
      <w:r>
        <w:rPr>
          <w:rFonts w:hint="eastAsia" w:ascii="楷体_GB2312" w:eastAsia="黑体"/>
        </w:rPr>
        <w:t xml:space="preserve">房地产估价结果报告</w:t>
      </w:r>
      <w:bookmarkEnd w:id="7"/>
      <w:bookmarkEnd w:id="8"/>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估价对象为盛世花苑</w:t>
      </w:r>
      <w:r>
        <w:rPr>
          <w:rFonts w:ascii="宋体" w:hAnsi="宋体"/>
          <w:sz w:val="24"/>
        </w:rPr>
        <w:t xml:space="preserve">142幢</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创业路东侧</w:t>
      </w:r>
      <w:r>
        <w:rPr>
          <w:rFonts w:hint="eastAsia" w:hAnsi="宋体"/>
          <w:sz w:val="24"/>
        </w:rPr>
        <w:t xml:space="preserve">的“盛世花苑”住宅区内。</w:t>
      </w:r>
      <w:r>
        <w:rPr>
          <w:rFonts w:hint="eastAsia" w:ascii="宋体" w:hAnsi="宋体"/>
          <w:sz w:val="24"/>
        </w:rPr>
        <w:t xml:space="preserve">估价对象东至</w:t>
      </w:r>
      <w:r>
        <w:rPr>
          <w:rFonts w:ascii="宋体" w:hAnsi="宋体"/>
          <w:sz w:val="24"/>
          <w:szCs w:val="24"/>
        </w:rPr>
        <w:t xml:space="preserve">空地</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御湖庄园</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创业路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空地</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346.55</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创业路东侧</w:t>
      </w:r>
      <w:r>
        <w:rPr>
          <w:rFonts w:hint="eastAsia" w:hAnsi="宋体"/>
          <w:sz w:val="24"/>
        </w:rPr>
        <w:t xml:space="preserve">的“盛世花苑”住宅区内。该小区内的物业类型包括：</w:t>
      </w:r>
      <w:r>
        <w:rPr>
          <w:rFonts w:hAnsi="宋体"/>
          <w:sz w:val="24"/>
        </w:rPr>
        <w:t xml:space="preserve">叠加、联排、独栋</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盛世花苑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“盛世花苑”小区</w:t>
            </w:r>
            <w:r>
              <w:rPr>
                <w:rFonts w:ascii="Cambria" w:hAnsi="宋体" w:eastAsia="黑体" w:cs="Times New Roman" w:asciiTheme="majorHAnsi" w:cstheme="majorBidi"/>
                <w:sz w:val="15"/>
                <w:szCs w:val="15"/>
              </w:rPr>
              <w:t xml:space="preserve">142幢</w:t>
            </w:r>
          </w:p>
        </w:tc>
      </w:tr>
    </w:tbl>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盛世花苑住宅2023年6月挂牌均价14637元/平方米，较年初持平。待评估二手房住宅近8个月（2022年11月-2023年06月）挂牌均价波动幅度较小，价格维持在14637元/平方米左右。</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均价说明：盛世花苑小区物业类型包括：叠加、联排、独栋,房源均价为:14637元/平方米，包含毛坯价值以及附带装修价值。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该房屋为3层住宅楼的第1-3层，建于2008年，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346.55</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2078年03月10日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2023年06月27日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1.5《中华人民共和国城镇国有土地使用权出让和转让暂行条例》；</w:t>
      </w:r>
    </w:p>
    <w:p>
      <w:pPr>
        <w:widowControl w:val="0"/>
        <w:spacing w:line="440" w:lineRule="exact"/>
        <w:ind w:firstLine="480" w:firstLineChars="200"/>
        <w:jc w:val="both"/>
        <w:rPr>
          <w:rFonts w:ascii="宋体"/>
          <w:sz w:val="24"/>
        </w:rPr>
      </w:pPr>
      <w:r>
        <w:rPr>
          <w:rFonts w:hint="eastAsia" w:ascii="宋体"/>
          <w:sz w:val="24"/>
        </w:rPr>
        <w:t xml:space="preserve">1.6《中华人民共和国契税法》；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壹万壹仟伍佰壹拾陆元整</w:t>
      </w:r>
      <w:r>
        <w:rPr>
          <w:rFonts w:hint="eastAsia" w:ascii="宋体" w:hAnsi="宋体"/>
          <w:b/>
          <w:bCs/>
          <w:sz w:val="24"/>
        </w:rPr>
        <w:t xml:space="preserve">（RMB </w:t>
      </w:r>
      <w:r>
        <w:rPr>
          <w:rFonts w:ascii="宋体" w:hAnsi="宋体"/>
          <w:b/>
          <w:bCs/>
          <w:sz w:val="24"/>
        </w:rPr>
        <w:t xml:space="preserve">11516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399.09</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11516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2023年06月30日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2023年06月30日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本次实地查勘期为2023年06月27日，并于当日完成现场查勘。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2023年06月27日</w:t>
      </w:r>
      <w:r>
        <w:rPr>
          <w:rFonts w:hint="eastAsia" w:ascii="宋体"/>
          <w:sz w:val="24"/>
        </w:rPr>
        <w:t xml:space="preserve">至2023年06月30日</w:t>
      </w:r>
      <w:r>
        <w:rPr>
          <w:rFonts w:hint="eastAsia" w:ascii="宋体" w:hAnsi="宋体"/>
          <w:sz w:val="24"/>
        </w:rPr>
        <w:t xml:space="preserve">。</w:t>
      </w:r>
      <w:bookmarkStart w:name="_Toc532675906" w:id="9"/>
      <w:r>
        <w:br w:type="page"/>
      </w:r>
    </w:p>
    <w:p>
      <w:pPr>
        <w:pStyle w:val="Heading1"/>
        <w:jc w:val="center"/>
        <w:rPr>
          <w:rFonts w:ascii="黑体" w:hAnsi="黑体" w:eastAsia="黑体" w:cs="宋体"/>
          <w:bCs w:val="0"/>
        </w:rPr>
      </w:pPr>
      <w:bookmarkStart w:name="_Toc32222394" w:id="10"/>
      <w:r>
        <w:rPr>
          <w:rFonts w:hint="eastAsia" w:ascii="黑体" w:hAnsi="黑体" w:eastAsia="黑体" w:cs="宋体"/>
        </w:rPr>
        <w:t xml:space="preserve">房地产估价技术报告</w:t>
      </w:r>
      <w:bookmarkEnd w:id="9"/>
      <w:bookmarkEnd w:id="10"/>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估价对象为苏州市吴江区“盛世花苑”住宅区内的</w:t>
      </w:r>
      <w:r>
        <w:rPr>
          <w:rFonts w:hAnsi="宋体"/>
          <w:sz w:val="24"/>
        </w:rPr>
        <w:t xml:space="preserve">独栋</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估价对象位于所在建筑物第1-3层。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创业路东侧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创业路东侧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附近有737路、742路公交线路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东风纺配超市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中国建设银行(吴江菀坪支行)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菀坪农贸市场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菀坪学校中心幼儿园</w:t>
      </w:r>
      <w:r>
        <w:rPr>
          <w:rFonts w:hint="eastAsia" w:ascii="宋体" w:hAnsi="宋体" w:eastAsia="宋体" w:asciiTheme="minorEastAsia" w:hAnsiTheme="minorEastAsia" w:eastAsiaTheme="minorEastAsia"/>
          <w:sz w:val="24"/>
        </w:rPr>
        <w:t xml:space="preserve">、</w:t>
      </w:r>
      <w:r>
        <w:rPr>
          <w:rFonts w:hAnsi="宋体"/>
          <w:sz w:val="24"/>
        </w:rPr>
        <w:t xml:space="preserve">松陵镇团结小学</w:t>
      </w:r>
      <w:r>
        <w:rPr>
          <w:rFonts w:hint="eastAsia" w:hAnsi="宋体"/>
          <w:sz w:val="24"/>
        </w:rPr>
        <w:t xml:space="preserve">、</w:t>
      </w:r>
      <w:r>
        <w:rPr>
          <w:rFonts w:hAnsi="宋体"/>
          <w:sz w:val="24"/>
        </w:rPr>
        <w:t xml:space="preserve">菀坪中学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5.1 区位状况优劣性分析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2078年03月10日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空地</w:t>
      </w:r>
      <w:r>
        <w:rPr>
          <w:rFonts w:hint="eastAsia" w:ascii="宋体" w:hAnsi="宋体"/>
          <w:sz w:val="24"/>
        </w:rPr>
        <w:t xml:space="preserve">，南至</w:t>
      </w:r>
      <w:r>
        <w:rPr>
          <w:rFonts w:ascii="宋体" w:hAnsi="宋体"/>
          <w:sz w:val="24"/>
        </w:rPr>
        <w:t xml:space="preserve">御湖庄园</w:t>
      </w:r>
      <w:r>
        <w:rPr>
          <w:rFonts w:hint="eastAsia" w:ascii="宋体" w:hAnsi="宋体"/>
          <w:sz w:val="24"/>
        </w:rPr>
        <w:t xml:space="preserve">，西至</w:t>
      </w:r>
      <w:r>
        <w:rPr>
          <w:rFonts w:ascii="宋体" w:hAnsi="宋体"/>
          <w:sz w:val="24"/>
        </w:rPr>
        <w:t xml:space="preserve">创业路</w:t>
      </w:r>
      <w:r>
        <w:rPr>
          <w:rFonts w:hint="eastAsia" w:ascii="宋体" w:hAnsi="宋体"/>
          <w:sz w:val="24"/>
        </w:rPr>
        <w:t xml:space="preserve">，北至</w:t>
      </w:r>
      <w:r>
        <w:rPr>
          <w:rFonts w:ascii="宋体" w:hAnsi="宋体"/>
          <w:sz w:val="24"/>
        </w:rPr>
        <w:t xml:space="preserve">空地</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估价对象为坐落于苏州市吴江区盛世花苑</w:t>
      </w:r>
      <w:r>
        <w:t xml:space="preserve"> </w:t>
      </w:r>
      <w:r>
        <w:rPr>
          <w:rFonts w:ascii="宋体" w:hAnsi="宋体"/>
          <w:kern w:val="2"/>
          <w:sz w:val="24"/>
        </w:rPr>
        <w:t xml:space="preserve">142幢</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估价对象为独栋建筑，建筑面积为</w:t>
      </w:r>
      <w:r>
        <w:rPr>
          <w:rFonts w:hAnsi="宋体"/>
          <w:sz w:val="24"/>
        </w:rPr>
        <w:t xml:space="preserve">346.55</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3层数、层高：估价对象位于总楼层为3层的第1-3层，层高约2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五室三厅三卫</w:t>
      </w:r>
      <w:r>
        <w:rPr>
          <w:rFonts w:hint="eastAsia" w:hAnsi="宋体"/>
          <w:sz w:val="24"/>
        </w:rPr>
        <w:t xml:space="preserve">，</w:t>
      </w:r>
      <w:r>
        <w:rPr>
          <w:rFonts w:hAnsi="宋体"/>
          <w:sz w:val="24"/>
        </w:rPr>
        <w:t xml:space="preserve">四间朝南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八五成新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盛世花苑住宅2023年6月挂牌均价14637元/平方米，较年初持平。待评估二手房住宅近8个月（2022年11月-2023年06月）挂牌均价波动幅度较小，价格维持在14637元/平方米左右。</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苏州市吴江区盛世花苑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F32050920220048374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F32050920230004060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s202302020009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s202212151334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吴江区横扇镇盛世花苑142幢独栋住宅标准房基准价格评估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目澜新村一区20号20</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龙洋大花园163号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明丰翠湖苑15幢109</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永康路154号158</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346.55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283.92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185.95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184.5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298.24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四间朝南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高档装修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2023年06月27日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2022年12月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11271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9422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11286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9804</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指数，吴江区2022年06月至2023年05月住宅月度价格指数表为：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2022年06月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2022年07月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2022年08月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2022年09月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2025</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2007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2022年10月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2022年11月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2022年12月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1961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2023年05月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2023年05月27日</w:t>
            </w:r>
          </w:p>
        </w:tc>
        <w:tc>
          <w:tcPr>
            <w:tcW w:w="778" w:type="pct"/>
            <w:shd w:val="clear" w:color="auto" w:fill="FFFFFF"/>
            <w:vAlign w:val="center"/>
          </w:tcPr>
          <w:p>
            <w:pPr>
              <w:jc w:val="center"/>
            </w:pPr>
            <w:r>
              <w:rPr>
                <w:rFonts w:hint="eastAsia" w:ascii="宋体" w:hAnsi="宋体" w:cs="宋体"/>
              </w:rPr>
              <w:t xml:space="preserve">2022年11月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2022年12月</w:t>
            </w:r>
          </w:p>
        </w:tc>
        <w:tc>
          <w:tcPr>
            <w:tcW w:w="779" w:type="pct"/>
            <w:shd w:val="clear" w:color="auto" w:fill="FFFFFF"/>
            <w:vAlign w:val="center"/>
          </w:tcPr>
          <w:p>
            <w:pPr>
              <w:jc w:val="center"/>
            </w:pPr>
            <w:r>
              <w:rPr>
                <w:rFonts w:hint="eastAsia" w:ascii="宋体" w:hAnsi="宋体" w:cs="宋体"/>
              </w:rPr>
              <w:t xml:space="preserve">2022年12月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11271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9422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11286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9804</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2040</w:t>
            </w:r>
          </w:p>
        </w:tc>
        <w:tc>
          <w:tcPr>
            <w:tcW w:w="778"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1935</w:t>
            </w:r>
          </w:p>
        </w:tc>
        <w:tc>
          <w:tcPr>
            <w:tcW w:w="779" w:type="pct"/>
            <w:shd w:val="clear" w:color="auto" w:fill="FFFFFF"/>
            <w:vAlign w:val="center"/>
          </w:tcPr>
          <w:p>
            <w:pPr>
              <w:jc w:val="center"/>
            </w:pPr>
            <w:r>
              <w:rPr>
                <w:rFonts w:hint="eastAsia" w:ascii="宋体" w:hAnsi="宋体" w:cs="宋体"/>
              </w:rPr>
              <w:t xml:space="preserve">1935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2040/2040</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2040/1935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2040/1935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1.047</w:t>
            </w:r>
          </w:p>
        </w:tc>
        <w:tc>
          <w:tcPr>
            <w:tcW w:w="779" w:type="pct"/>
            <w:shd w:val="clear" w:color="auto" w:fill="FFFFFF"/>
            <w:vAlign w:val="center"/>
          </w:tcPr>
          <w:p>
            <w:pPr>
              <w:jc w:val="center"/>
            </w:pPr>
            <w:r>
              <w:rPr>
                <w:rFonts w:hint="eastAsia" w:ascii="宋体" w:hAnsi="宋体" w:cs="宋体"/>
              </w:rPr>
              <w:t xml:space="preserve">1.034</w:t>
            </w:r>
          </w:p>
        </w:tc>
        <w:tc>
          <w:tcPr>
            <w:tcW w:w="779" w:type="pct"/>
            <w:shd w:val="clear" w:color="auto" w:fill="FFFFFF"/>
            <w:vAlign w:val="center"/>
          </w:tcPr>
          <w:p>
            <w:pPr>
              <w:jc w:val="center"/>
            </w:pPr>
            <w:r>
              <w:rPr>
                <w:rFonts w:hint="eastAsia" w:ascii="宋体" w:hAnsi="宋体" w:cs="宋体"/>
              </w:rPr>
              <w:t xml:space="preserve">1.054</w:t>
            </w:r>
          </w:p>
        </w:tc>
        <w:tc>
          <w:tcPr>
            <w:tcW w:w="779" w:type="pct"/>
            <w:shd w:val="clear" w:color="auto" w:fill="FFFFFF"/>
            <w:vAlign w:val="center"/>
          </w:tcPr>
          <w:p>
            <w:pPr>
              <w:jc w:val="center"/>
            </w:pPr>
            <w:r>
              <w:rPr>
                <w:rFonts w:hint="eastAsia" w:ascii="宋体" w:hAnsi="宋体" w:cs="宋体"/>
              </w:rPr>
              <w:t xml:space="preserve">1.034</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备注：在价值时点2023年06月27日</w:t>
      </w:r>
      <w:r>
        <w:rPr>
          <w:rFonts w:hint="eastAsia" w:ascii="宋体" w:hAnsi="宋体" w:cs="宋体"/>
          <w:sz w:val="24"/>
          <w:szCs w:val="24"/>
        </w:rPr>
        <w:t xml:space="preserve">，2023年06月份价格指数尚未公布，本次估价采用2023年05月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1596837" w:id="15"/>
            <w:bookmarkStart w:name="_Toc35232566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949569752"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吴江区横扇镇盛世花苑142幢独栋住宅标准房基准价格评估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目澜新村一区20号20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龙洋大花园163号</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明丰翠湖苑15幢109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松陵 永康路154号158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346.55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283.92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185.95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184.5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298.24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98.94</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1.1134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1.0576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1.1278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1.1735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9422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11286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11920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10626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12013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11505</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11271</w:t>
            </w:r>
          </w:p>
        </w:tc>
        <w:tc>
          <w:tcPr>
            <w:tcW w:w="922" w:type="pct"/>
            <w:shd w:val="clear" w:color="auto" w:fill="auto"/>
            <w:vAlign w:val="center"/>
          </w:tcPr>
          <w:p>
            <w:pPr>
              <w:jc w:val="center"/>
              <w:rPr>
                <w:rFonts w:ascii="宋体" w:hAnsi="宋体" w:cs="宋体"/>
              </w:rPr>
            </w:pPr>
            <w:r>
              <w:rPr>
                <w:rFonts w:hint="eastAsia" w:ascii="宋体" w:hAnsi="宋体" w:cs="宋体"/>
              </w:rPr>
              <w:t xml:space="preserve">9422</w:t>
            </w:r>
          </w:p>
        </w:tc>
        <w:tc>
          <w:tcPr>
            <w:tcW w:w="922" w:type="pct"/>
            <w:shd w:val="clear" w:color="auto" w:fill="auto"/>
            <w:vAlign w:val="center"/>
          </w:tcPr>
          <w:p>
            <w:pPr>
              <w:jc w:val="center"/>
              <w:rPr>
                <w:rFonts w:ascii="宋体" w:hAnsi="宋体" w:cs="宋体"/>
              </w:rPr>
            </w:pPr>
            <w:r>
              <w:rPr>
                <w:rFonts w:hint="eastAsia" w:ascii="宋体" w:hAnsi="宋体" w:cs="宋体"/>
              </w:rPr>
              <w:t xml:space="preserve">11286</w:t>
            </w:r>
          </w:p>
        </w:tc>
        <w:tc>
          <w:tcPr>
            <w:tcW w:w="922" w:type="pct"/>
            <w:shd w:val="clear" w:color="auto" w:fill="auto"/>
            <w:vAlign w:val="center"/>
          </w:tcPr>
          <w:p>
            <w:pPr>
              <w:jc w:val="center"/>
              <w:rPr>
                <w:rFonts w:ascii="宋体" w:hAnsi="宋体" w:cs="宋体"/>
              </w:rPr>
            </w:pPr>
            <w:r>
              <w:rPr>
                <w:rFonts w:hint="eastAsia" w:ascii="宋体" w:hAnsi="宋体" w:cs="宋体"/>
              </w:rPr>
              <w:t xml:space="preserve">9804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1.047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1.034</w:t>
            </w:r>
          </w:p>
        </w:tc>
        <w:tc>
          <w:tcPr>
            <w:tcW w:w="922" w:type="pct"/>
            <w:shd w:val="clear" w:color="auto" w:fill="auto"/>
            <w:vAlign w:val="center"/>
          </w:tcPr>
          <w:p>
            <w:pPr>
              <w:jc w:val="center"/>
              <w:rPr>
                <w:rFonts w:ascii="宋体" w:hAnsi="宋体" w:cs="宋体"/>
              </w:rPr>
            </w:pPr>
            <w:r>
              <w:rPr>
                <w:rFonts w:hint="eastAsia" w:ascii="宋体" w:hAnsi="宋体" w:cs="宋体"/>
              </w:rPr>
              <w:t xml:space="preserve">1.054</w:t>
            </w:r>
          </w:p>
        </w:tc>
        <w:tc>
          <w:tcPr>
            <w:tcW w:w="922" w:type="pct"/>
            <w:shd w:val="clear" w:color="auto" w:fill="auto"/>
            <w:vAlign w:val="center"/>
          </w:tcPr>
          <w:p>
            <w:pPr>
              <w:jc w:val="center"/>
              <w:rPr>
                <w:rFonts w:ascii="宋体" w:hAnsi="宋体" w:cs="宋体"/>
              </w:rPr>
            </w:pPr>
            <w:r>
              <w:rPr>
                <w:rFonts w:hint="eastAsia" w:ascii="宋体" w:hAnsi="宋体" w:cs="宋体"/>
              </w:rPr>
              <w:t xml:space="preserve">1.054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110.16/110.16</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110.16/98.94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1.0576</w:t>
            </w:r>
          </w:p>
        </w:tc>
        <w:tc>
          <w:tcPr>
            <w:tcW w:w="922" w:type="pct"/>
            <w:shd w:val="clear" w:color="auto" w:fill="auto"/>
            <w:vAlign w:val="center"/>
          </w:tcPr>
          <w:p>
            <w:pPr>
              <w:jc w:val="center"/>
              <w:rPr>
                <w:rFonts w:ascii="宋体" w:hAnsi="宋体" w:cs="宋体"/>
              </w:rPr>
            </w:pPr>
            <w:r>
              <w:rPr>
                <w:rFonts w:hint="eastAsia" w:ascii="宋体" w:hAnsi="宋体" w:cs="宋体"/>
              </w:rPr>
              <w:t xml:space="preserve">1.1278</w:t>
            </w:r>
          </w:p>
        </w:tc>
        <w:tc>
          <w:tcPr>
            <w:tcW w:w="922" w:type="pct"/>
            <w:shd w:val="clear" w:color="auto" w:fill="auto"/>
            <w:vAlign w:val="center"/>
          </w:tcPr>
          <w:p>
            <w:pPr>
              <w:jc w:val="center"/>
              <w:rPr>
                <w:rFonts w:ascii="宋体" w:hAnsi="宋体" w:cs="宋体"/>
              </w:rPr>
            </w:pPr>
            <w:r>
              <w:rPr>
                <w:rFonts w:hint="eastAsia" w:ascii="宋体" w:hAnsi="宋体" w:cs="宋体"/>
              </w:rPr>
              <w:t xml:space="preserve">1.0644</w:t>
            </w:r>
          </w:p>
        </w:tc>
        <w:tc>
          <w:tcPr>
            <w:tcW w:w="922" w:type="pct"/>
            <w:shd w:val="clear" w:color="auto" w:fill="auto"/>
            <w:vAlign w:val="center"/>
          </w:tcPr>
          <w:p>
            <w:pPr>
              <w:jc w:val="center"/>
              <w:rPr>
                <w:rFonts w:ascii="宋体" w:hAnsi="宋体" w:cs="宋体"/>
              </w:rPr>
            </w:pPr>
            <w:r>
              <w:rPr>
                <w:rFonts w:hint="eastAsia" w:ascii="宋体" w:hAnsi="宋体" w:cs="宋体"/>
              </w:rPr>
              <w:t xml:space="preserve">1.1735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11920</w:t>
            </w:r>
          </w:p>
        </w:tc>
        <w:tc>
          <w:tcPr>
            <w:tcW w:w="922" w:type="pct"/>
            <w:shd w:val="clear" w:color="auto" w:fill="auto"/>
            <w:vAlign w:val="center"/>
          </w:tcPr>
          <w:p>
            <w:pPr>
              <w:jc w:val="center"/>
              <w:rPr>
                <w:rFonts w:ascii="宋体" w:hAnsi="宋体" w:cs="宋体"/>
              </w:rPr>
            </w:pPr>
            <w:r>
              <w:rPr>
                <w:rFonts w:hint="eastAsia" w:ascii="宋体" w:hAnsi="宋体" w:cs="宋体"/>
              </w:rPr>
              <w:t xml:space="preserve">10626</w:t>
            </w:r>
          </w:p>
        </w:tc>
        <w:tc>
          <w:tcPr>
            <w:tcW w:w="922" w:type="pct"/>
            <w:shd w:val="clear" w:color="auto" w:fill="auto"/>
            <w:vAlign w:val="center"/>
          </w:tcPr>
          <w:p>
            <w:pPr>
              <w:jc w:val="center"/>
              <w:rPr>
                <w:rFonts w:ascii="宋体" w:hAnsi="宋体" w:cs="宋体"/>
              </w:rPr>
            </w:pPr>
            <w:r>
              <w:rPr>
                <w:rFonts w:hint="eastAsia" w:ascii="宋体" w:hAnsi="宋体" w:cs="宋体"/>
              </w:rPr>
              <w:t xml:space="preserve">12013</w:t>
            </w:r>
          </w:p>
        </w:tc>
        <w:tc>
          <w:tcPr>
            <w:tcW w:w="922" w:type="pct"/>
            <w:shd w:val="clear" w:color="auto" w:fill="auto"/>
            <w:vAlign w:val="center"/>
          </w:tcPr>
          <w:p>
            <w:pPr>
              <w:jc w:val="center"/>
              <w:rPr>
                <w:rFonts w:ascii="宋体" w:hAnsi="宋体" w:cs="宋体"/>
              </w:rPr>
            </w:pPr>
            <w:r>
              <w:rPr>
                <w:rFonts w:hint="eastAsia" w:ascii="宋体" w:hAnsi="宋体" w:cs="宋体"/>
              </w:rPr>
              <w:t xml:space="preserve">11505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11920</w:t>
            </w:r>
          </w:p>
        </w:tc>
        <w:tc>
          <w:tcPr>
            <w:tcW w:w="922" w:type="pct"/>
            <w:shd w:val="clear" w:color="auto" w:fill="auto"/>
            <w:vAlign w:val="center"/>
          </w:tcPr>
          <w:p>
            <w:pPr>
              <w:jc w:val="center"/>
              <w:rPr>
                <w:rFonts w:ascii="宋体" w:hAnsi="宋体" w:cs="宋体"/>
              </w:rPr>
            </w:pPr>
            <w:r>
              <w:rPr>
                <w:rFonts w:hint="eastAsia" w:ascii="宋体" w:hAnsi="宋体" w:cs="宋体"/>
              </w:rPr>
              <w:t xml:space="preserve">10626</w:t>
            </w:r>
          </w:p>
        </w:tc>
        <w:tc>
          <w:tcPr>
            <w:tcW w:w="922" w:type="pct"/>
            <w:shd w:val="clear" w:color="auto" w:fill="auto"/>
            <w:vAlign w:val="center"/>
          </w:tcPr>
          <w:p>
            <w:pPr>
              <w:jc w:val="center"/>
              <w:rPr>
                <w:rFonts w:ascii="宋体" w:hAnsi="宋体" w:cs="宋体"/>
              </w:rPr>
            </w:pPr>
            <w:r>
              <w:rPr>
                <w:rFonts w:hint="eastAsia" w:ascii="宋体" w:hAnsi="宋体" w:cs="宋体"/>
              </w:rPr>
              <w:t xml:space="preserve">12013</w:t>
            </w:r>
          </w:p>
        </w:tc>
        <w:tc>
          <w:tcPr>
            <w:tcW w:w="922" w:type="pct"/>
            <w:shd w:val="clear" w:color="auto" w:fill="auto"/>
            <w:vAlign w:val="center"/>
          </w:tcPr>
          <w:p>
            <w:pPr>
              <w:jc w:val="center"/>
              <w:rPr>
                <w:rFonts w:ascii="宋体" w:hAnsi="宋体" w:cs="宋体"/>
              </w:rPr>
            </w:pPr>
            <w:r>
              <w:rPr>
                <w:rFonts w:hint="eastAsia" w:ascii="宋体" w:hAnsi="宋体" w:cs="宋体"/>
              </w:rPr>
              <w:t xml:space="preserve">11505</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11516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F32050920220048374</w:t>
            </w:r>
          </w:p>
        </w:tc>
        <w:tc>
          <w:tcPr>
            <w:tcW w:w="1842" w:type="dxa"/>
            <w:vAlign w:val="center"/>
          </w:tcPr>
          <w:p>
            <w:pPr>
              <w:jc w:val="center"/>
            </w:pPr>
            <w:r>
              <w:rPr>
                <w:rFonts w:hint="eastAsia" w:ascii="宋体" w:hAnsi="宋体" w:cs="宋体"/>
              </w:rPr>
              <w:t xml:space="preserve">F32050920230004060</w:t>
            </w:r>
          </w:p>
        </w:tc>
        <w:tc>
          <w:tcPr>
            <w:tcW w:w="1843" w:type="dxa"/>
            <w:vAlign w:val="center"/>
          </w:tcPr>
          <w:p>
            <w:pPr>
              <w:jc w:val="center"/>
            </w:pPr>
            <w:r>
              <w:rPr>
                <w:rFonts w:hint="eastAsia" w:ascii="宋体" w:hAnsi="宋体" w:cs="宋体"/>
              </w:rPr>
              <w:t xml:space="preserve">s202302020009</w:t>
            </w:r>
          </w:p>
        </w:tc>
        <w:tc>
          <w:tcPr>
            <w:tcW w:w="1985" w:type="dxa"/>
            <w:vAlign w:val="center"/>
          </w:tcPr>
          <w:p>
            <w:pPr>
              <w:jc w:val="center"/>
            </w:pPr>
            <w:r>
              <w:rPr>
                <w:rFonts w:hint="eastAsia" w:ascii="宋体" w:hAnsi="宋体" w:cs="宋体"/>
              </w:rPr>
              <w:t xml:space="preserve">s202212151334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目澜新村一区20号20</w:t>
            </w:r>
          </w:p>
        </w:tc>
        <w:tc>
          <w:tcPr>
            <w:tcW w:w="1842" w:type="dxa"/>
            <w:vAlign w:val="center"/>
          </w:tcPr>
          <w:p>
            <w:pPr>
              <w:jc w:val="center"/>
            </w:pPr>
            <w:r>
              <w:rPr>
                <w:rFonts w:hint="eastAsia" w:ascii="宋体" w:hAnsi="宋体" w:cs="宋体"/>
              </w:rPr>
              <w:t xml:space="preserve">龙洋大花园163号</w:t>
            </w:r>
          </w:p>
        </w:tc>
        <w:tc>
          <w:tcPr>
            <w:tcW w:w="1843" w:type="dxa"/>
            <w:vAlign w:val="center"/>
          </w:tcPr>
          <w:p>
            <w:pPr>
              <w:jc w:val="center"/>
            </w:pPr>
            <w:r>
              <w:rPr>
                <w:rFonts w:hint="eastAsia" w:ascii="宋体" w:hAnsi="宋体" w:cs="宋体"/>
              </w:rPr>
              <w:t xml:space="preserve">明丰翠湖苑15幢109</w:t>
            </w:r>
          </w:p>
        </w:tc>
        <w:tc>
          <w:tcPr>
            <w:tcW w:w="1985" w:type="dxa"/>
            <w:vAlign w:val="center"/>
          </w:tcPr>
          <w:p>
            <w:pPr>
              <w:jc w:val="center"/>
            </w:pPr>
            <w:r>
              <w:rPr>
                <w:rFonts w:hint="eastAsia" w:ascii="宋体" w:hAnsi="宋体" w:cs="宋体"/>
              </w:rPr>
              <w:t xml:space="preserve">松陵 永康路154号158</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目澜新村一区20号20</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龙洋大花园163号</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明丰翠湖苑15幢109</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松陵 永康路154号158</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23</TotalTime>
  <Pages>33</Pages>
  <Words>3200</Words>
  <Characters>18244</Characters>
  <Application>WPS Office WWO_base_provider_20221031101348-1857be321c</Application>
  <DocSecurity>0</DocSecurity>
  <Lines>152</Lines>
  <Paragraphs>42</Paragraphs>
  <Company>Www.RePaiK.Com</Company>
  <CharactersWithSpaces>21402</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2020-03-31T02:20:00Z</cp:lastPrinted>
  <dcterms:created xsi:type="dcterms:W3CDTF">2023-05-06T01:44:00Z</dcterms:created>
  <dcterms:modified xsi:type="dcterms:W3CDTF">2023-06-30T08:57:20Z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