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苏吴地评估字(2023)吴江第00420号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苏州市吴江区平望镇</w:t>
      </w:r>
      <w:r>
        <w:rPr>
          <w:rFonts w:ascii="宋体" w:hAnsi="宋体" w:eastAsia="宋体" w:asciiTheme="minorEastAsia" w:hAnsiTheme="minorEastAsia" w:eastAsiaTheme="minorEastAsia"/>
          <w:sz w:val="24"/>
          <w:szCs w:val="24"/>
        </w:rPr>
        <w:t xml:space="preserve">育龙豪苑小高层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估价对象位于苏州市吴江区区域范围内的育龙豪苑住宅小区小高层存量房。该小区内的物业类型包括：</w:t>
      </w:r>
      <w:r>
        <w:rPr>
          <w:rFonts w:ascii="宋体"/>
          <w:sz w:val="24"/>
        </w:rPr>
        <w:t xml:space="preserve">普通多层、小高层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月修订版），结合估价人员现场查勘，选取育龙豪苑</w:t>
      </w:r>
      <w:r>
        <w:rPr>
          <w:rFonts w:ascii="宋体"/>
          <w:sz w:val="24"/>
        </w:rPr>
        <w:t xml:space="preserve">9幢103室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11</w:t>
      </w:r>
      <w:r>
        <w:rPr>
          <w:rFonts w:hint="eastAsia" w:ascii="宋体"/>
          <w:sz w:val="24"/>
        </w:rPr>
        <w:t xml:space="preserve">层，建筑面积</w:t>
      </w:r>
      <w:r>
        <w:rPr>
          <w:rFonts w:ascii="宋体"/>
          <w:sz w:val="24"/>
        </w:rPr>
        <w:t xml:space="preserve">127.91</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bookmarkStart w:name="_GoBack" w:id="2"/>
      <w:bookmarkEnd w:id="2"/>
      <w:r>
        <w:rPr>
          <w:rFonts w:hint="eastAsia" w:ascii="宋体" w:hAnsi="宋体"/>
          <w:sz w:val="24"/>
        </w:rPr>
        <w:t xml:space="preserve">在价值时点</w:t>
      </w:r>
      <w:r>
        <w:rPr>
          <w:rFonts w:ascii="宋体" w:hAnsi="宋体"/>
          <w:sz w:val="24"/>
        </w:rPr>
        <w:t xml:space="preserve">2023年06月27日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捌仟贰佰捌拾元整</w:t>
      </w:r>
      <w:r>
        <w:rPr>
          <w:rFonts w:hint="eastAsia" w:ascii="宋体" w:hAnsi="宋体"/>
          <w:b/>
          <w:bCs/>
          <w:sz w:val="24"/>
        </w:rPr>
        <w:t xml:space="preserve">（RMB</w:t>
      </w:r>
      <w:r>
        <w:rPr>
          <w:rFonts w:ascii="宋体" w:hAnsi="宋体"/>
          <w:b/>
          <w:bCs/>
          <w:sz w:val="24"/>
        </w:rPr>
        <w:t xml:space="preserve"> 8280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102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1025"/>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1026"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1026"/>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3"/>
      <w:bookmarkStart w:name="_Toc532675903" w:id="4"/>
      <w:r>
        <w:rPr>
          <w:rFonts w:hint="eastAsia" w:ascii="楷体_GB2312" w:eastAsia="黑体"/>
        </w:rPr>
        <w:t xml:space="preserve">估 价 师 声 明</w:t>
      </w:r>
      <w:bookmarkEnd w:id="3"/>
      <w:bookmarkEnd w:id="4"/>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1043" style="height:20pt;width:80pt" o:spid="_x0000_i1051"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1045" style="height:20pt;width:80pt" o:spid="_x0000_i1052"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pStyle w:val="Heading1"/>
        <w:jc w:val="center"/>
        <w:rPr>
          <w:rFonts w:eastAsia="黑体"/>
          <w:bCs w:val="0"/>
        </w:rPr>
      </w:pPr>
      <w:bookmarkStart w:name="_Toc532675904" w:id="5"/>
      <w:bookmarkStart w:name="_Toc32222392" w:id="6"/>
      <w:r>
        <w:rPr>
          <w:rFonts w:hint="eastAsia" w:eastAsia="黑体"/>
          <w:bCs w:val="0"/>
        </w:rPr>
        <w:t xml:space="preserve">估价的假设和限制条件</w:t>
      </w:r>
      <w:bookmarkEnd w:id="5"/>
      <w:bookmarkEnd w:id="6"/>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5.本报告作为整体使用时有效。若房地产市场无重大波动，本估价报告自出具日起一年内有效，从2023年06月30日至</w:t>
      </w:r>
      <w:r>
        <w:rPr>
          <w:rFonts w:ascii="宋体" w:hAnsi="宋体"/>
          <w:sz w:val="24"/>
        </w:rPr>
        <w:t xml:space="preserve">2024年06月29日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7"/>
      <w:r>
        <w:br w:type="page"/>
      </w:r>
    </w:p>
    <w:p>
      <w:pPr>
        <w:pStyle w:val="Heading1"/>
        <w:jc w:val="center"/>
        <w:rPr>
          <w:rFonts w:ascii="楷体_GB2312" w:eastAsia="黑体"/>
        </w:rPr>
      </w:pPr>
      <w:bookmarkStart w:name="_Toc32222393" w:id="8"/>
      <w:r>
        <w:rPr>
          <w:rFonts w:hint="eastAsia" w:ascii="楷体_GB2312" w:eastAsia="黑体"/>
        </w:rPr>
        <w:t xml:space="preserve">房地产估价结果报告</w:t>
      </w:r>
      <w:bookmarkEnd w:id="7"/>
      <w:bookmarkEnd w:id="8"/>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估价对象为育龙豪苑</w:t>
      </w:r>
      <w:r>
        <w:rPr>
          <w:rFonts w:ascii="宋体" w:hAnsi="宋体"/>
          <w:sz w:val="24"/>
        </w:rPr>
        <w:t xml:space="preserve">9幢103室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新城南弄西侧</w:t>
      </w:r>
      <w:r>
        <w:rPr>
          <w:rFonts w:hint="eastAsia" w:hAnsi="宋体"/>
          <w:sz w:val="24"/>
        </w:rPr>
        <w:t xml:space="preserve">的“育龙豪苑”住宅区内。</w:t>
      </w:r>
      <w:r>
        <w:rPr>
          <w:rFonts w:hint="eastAsia" w:ascii="宋体" w:hAnsi="宋体"/>
          <w:sz w:val="24"/>
        </w:rPr>
        <w:t xml:space="preserve">估价对象东至</w:t>
      </w:r>
      <w:r>
        <w:rPr>
          <w:rFonts w:ascii="宋体" w:hAnsi="宋体"/>
          <w:sz w:val="24"/>
          <w:szCs w:val="24"/>
        </w:rPr>
        <w:t xml:space="preserve">新城南弄</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学才路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育龙路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京杭运河</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127.91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新城南弄西侧</w:t>
      </w:r>
      <w:r>
        <w:rPr>
          <w:rFonts w:hint="eastAsia" w:hAnsi="宋体"/>
          <w:sz w:val="24"/>
        </w:rPr>
        <w:t xml:space="preserve">的“育龙豪苑”住宅区内。该小区内的物业类型包括：</w:t>
      </w:r>
      <w:r>
        <w:rPr>
          <w:rFonts w:hAnsi="宋体"/>
          <w:sz w:val="24"/>
        </w:rPr>
        <w:t xml:space="preserve">普通多层、小高层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1029" style="height:220pt;width:220pt" o:spid="_x0000_i1053"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1030" style="height:130pt;width:130pt" o:spid="_x0000_i1054"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育龙豪苑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1031" style="height:2in;width:2in" o:spid="_x0000_i1055"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“育龙豪苑”小区</w:t>
            </w:r>
            <w:r>
              <w:rPr>
                <w:rFonts w:ascii="Cambria" w:hAnsi="宋体" w:eastAsia="黑体" w:cs="Times New Roman" w:asciiTheme="majorHAnsi" w:cstheme="majorBidi"/>
                <w:sz w:val="15"/>
                <w:szCs w:val="15"/>
              </w:rPr>
              <w:t xml:space="preserve">9幢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由于育龙豪苑3公里内暂无合适案例，因此选择的案例A，B，C，D，距离在3公里以外。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育龙豪苑住宅2023年6月挂牌均价12578元/平方米，较年初持平。待评估二手房住宅近8个月（2022年11月-2023年06月）挂牌均价波动幅度较小，价格维持在12578元/平方米左右。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均价说明：育龙豪苑小区物业类型包括：普通多层、小高层,房源均价为:12578元/平方米，包含毛坯价值以及附带装修价值。</w:t>
      </w:r>
    </w:p>
    <w:p>
      <w:pPr>
        <w:pStyle w:val="PlainText"/>
        <w:spacing w:line="540" w:lineRule="atLeast"/>
        <w:jc w:val="center"/>
      </w:pPr>
      <w:r>
        <w:pict>
          <v:shape id="_x0000_i1033" style="height:209pt;width:312pt" o:spid="_x0000_i1056"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该房屋为11层住宅楼的第1层，建于2011年，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127.91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2023年06月27日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捌仟贰佰捌拾元整</w:t>
      </w:r>
      <w:r>
        <w:rPr>
          <w:rFonts w:hint="eastAsia" w:ascii="宋体" w:hAnsi="宋体"/>
          <w:b/>
          <w:bCs/>
          <w:sz w:val="24"/>
        </w:rPr>
        <w:t xml:space="preserve">（RMB </w:t>
      </w:r>
      <w:r>
        <w:rPr>
          <w:rFonts w:ascii="宋体" w:hAnsi="宋体"/>
          <w:b/>
          <w:bCs/>
          <w:sz w:val="24"/>
        </w:rPr>
        <w:t xml:space="preserve">8280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105.90</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8280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1044" style="height:20pt;width:80pt" o:spid="_x0000_i105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1046" style="height:20pt;width:80pt" o:spid="_x0000_i105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本次实地查勘期为2023年06月27日，并于当日完成现场查勘。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2023年06月27日</w:t>
      </w:r>
      <w:r>
        <w:rPr>
          <w:rFonts w:hint="eastAsia" w:ascii="宋体"/>
          <w:sz w:val="24"/>
        </w:rPr>
        <w:t xml:space="preserve">至2023年06月30日</w:t>
      </w:r>
      <w:r>
        <w:rPr>
          <w:rFonts w:hint="eastAsia" w:ascii="宋体" w:hAnsi="宋体"/>
          <w:sz w:val="24"/>
        </w:rPr>
        <w:t xml:space="preserve">。</w:t>
      </w:r>
      <w:bookmarkStart w:name="_Toc532675906" w:id="9"/>
      <w:r>
        <w:br w:type="page"/>
      </w:r>
    </w:p>
    <w:p>
      <w:pPr>
        <w:pStyle w:val="Heading1"/>
        <w:jc w:val="center"/>
        <w:rPr>
          <w:rFonts w:ascii="黑体" w:hAnsi="黑体" w:eastAsia="黑体" w:cs="宋体"/>
          <w:bCs w:val="0"/>
        </w:rPr>
      </w:pPr>
      <w:bookmarkStart w:name="_Toc32222394" w:id="10"/>
      <w:r>
        <w:rPr>
          <w:rFonts w:hint="eastAsia" w:ascii="黑体" w:hAnsi="黑体" w:eastAsia="黑体" w:cs="宋体"/>
        </w:rPr>
        <w:t xml:space="preserve">房地产估价技术报告</w:t>
      </w:r>
      <w:bookmarkEnd w:id="9"/>
      <w:bookmarkEnd w:id="10"/>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估价对象为苏州市吴江区“育龙豪苑”住宅区内的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育龙路东侧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育龙路东侧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附近有755路、7205路、7206路等多条公交线路</w:t>
      </w:r>
      <w:r>
        <w:rPr>
          <w:rFonts w:hint="eastAsia" w:hAnsi="宋体"/>
          <w:sz w:val="24"/>
        </w:rPr>
        <w:t xml:space="preserve">，</w:t>
      </w:r>
      <w:r>
        <w:rPr>
          <w:rFonts w:hAnsi="宋体"/>
          <w:sz w:val="24"/>
        </w:rPr>
        <w:t xml:space="preserve">至公交站点的距离约为400米，公交班次平均隔10分钟有一辆汽车通过。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世纪华联新天地店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平望农贸市场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星宝贝幼儿园</w:t>
      </w:r>
      <w:r>
        <w:rPr>
          <w:rFonts w:hint="eastAsia" w:ascii="宋体" w:hAnsi="宋体" w:eastAsia="宋体" w:asciiTheme="minorEastAsia" w:hAnsiTheme="minorEastAsia" w:eastAsiaTheme="minorEastAsia"/>
          <w:sz w:val="24"/>
        </w:rPr>
        <w:t xml:space="preserve">、</w:t>
      </w:r>
      <w:r>
        <w:rPr>
          <w:rFonts w:hAnsi="宋体"/>
          <w:sz w:val="24"/>
        </w:rPr>
        <w:t xml:space="preserve">平望实验小学</w:t>
      </w:r>
      <w:r>
        <w:rPr>
          <w:rFonts w:hint="eastAsia" w:hAnsi="宋体"/>
          <w:sz w:val="24"/>
        </w:rPr>
        <w:t xml:space="preserve">、</w:t>
      </w:r>
      <w:r>
        <w:rPr>
          <w:rFonts w:hAnsi="宋体"/>
          <w:sz w:val="24"/>
        </w:rPr>
        <w:t xml:space="preserve">平望中学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新城南弄</w:t>
      </w:r>
      <w:r>
        <w:rPr>
          <w:rFonts w:hint="eastAsia" w:ascii="宋体" w:hAnsi="宋体"/>
          <w:sz w:val="24"/>
        </w:rPr>
        <w:t xml:space="preserve">，南至</w:t>
      </w:r>
      <w:r>
        <w:rPr>
          <w:rFonts w:ascii="宋体" w:hAnsi="宋体"/>
          <w:sz w:val="24"/>
        </w:rPr>
        <w:t xml:space="preserve">学才路</w:t>
      </w:r>
      <w:r>
        <w:rPr>
          <w:rFonts w:hint="eastAsia" w:ascii="宋体" w:hAnsi="宋体"/>
          <w:sz w:val="24"/>
        </w:rPr>
        <w:t xml:space="preserve">，西至</w:t>
      </w:r>
      <w:r>
        <w:rPr>
          <w:rFonts w:ascii="宋体" w:hAnsi="宋体"/>
          <w:sz w:val="24"/>
        </w:rPr>
        <w:t xml:space="preserve">育龙路</w:t>
      </w:r>
      <w:r>
        <w:rPr>
          <w:rFonts w:hint="eastAsia" w:ascii="宋体" w:hAnsi="宋体"/>
          <w:sz w:val="24"/>
        </w:rPr>
        <w:t xml:space="preserve">，北至</w:t>
      </w:r>
      <w:r>
        <w:rPr>
          <w:rFonts w:ascii="宋体" w:hAnsi="宋体"/>
          <w:sz w:val="24"/>
        </w:rPr>
        <w:t xml:space="preserve">京杭运河</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估价对象为坐落于苏州市吴江区育龙豪苑</w:t>
      </w:r>
      <w:r>
        <w:t xml:space="preserve"> </w:t>
      </w:r>
      <w:r>
        <w:rPr>
          <w:rFonts w:ascii="宋体" w:hAnsi="宋体"/>
          <w:kern w:val="2"/>
          <w:sz w:val="24"/>
        </w:rPr>
        <w:t xml:space="preserve">9幢103室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估价对象为小高层建筑，建筑面积为</w:t>
      </w:r>
      <w:r>
        <w:rPr>
          <w:rFonts w:hAnsi="宋体"/>
          <w:sz w:val="24"/>
        </w:rPr>
        <w:t xml:space="preserve">127.91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3层数、层高：估价对象位于总楼层为11层的第1层，层高约2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九五成新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育龙豪苑住宅2023年6月挂牌均价12578元/平方米，较年初持平。待评估二手房住宅近8个月（2022年11月-2023年06月）挂牌均价波动幅度较小，价格维持在12578元/平方米左右。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1032" style="height:190pt;width:240pt" o:spid="_x0000_i1059"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1034" style="height:209pt;width:312pt" o:spid="_x0000_i1060"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苏州市吴江区育龙豪苑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F32050920230006113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F32050920230006413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s202302080060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s202210250053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吴江区平望镇育龙豪苑9幢103室小高层住宅标准房基准价格评估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印象家园12幢1006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南太湖大道333号2幢605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祥运花苑36幢1203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新东华庭5幢601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127.91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121.43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125.61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136.57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125.63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2023年06月27日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8235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8208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8756</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2023年05月27日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2022年11月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8235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8901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8208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8756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1.034</w:t>
            </w:r>
          </w:p>
        </w:tc>
        <w:tc>
          <w:tcPr>
            <w:tcW w:w="779"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1.034</w:t>
            </w:r>
          </w:p>
        </w:tc>
        <w:tc>
          <w:tcPr>
            <w:tcW w:w="779" w:type="pct"/>
            <w:shd w:val="clear" w:color="auto" w:fill="FFFFFF"/>
            <w:vAlign w:val="center"/>
          </w:tcPr>
          <w:p>
            <w:pPr>
              <w:jc w:val="center"/>
            </w:pPr>
            <w:r>
              <w:rPr>
                <w:rFonts w:hint="eastAsia" w:ascii="宋体" w:hAnsi="宋体" w:cs="宋体"/>
              </w:rPr>
              <w:t xml:space="preserve">1.041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备注：在价值时点2023年06月27日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1596837" w:id="15"/>
            <w:bookmarkStart w:name="_Toc35232566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1027" style="height:28.5pt;width:79.5pt" coordsize="21600,21600" o:spid="_x0000_i1061"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1027" DrawAspect="Content" ObjectID="_155959554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吴江区平望镇育龙豪苑9幢103室小高层住宅标准房基准价格评估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印象家园12幢1006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南太湖大道333号2幢605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祥运花苑36幢1203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新东华庭5幢601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127.91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121.43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125.61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136.57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125.63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112.93</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0.9659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1.0113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8208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8756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8455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8235</w:t>
            </w:r>
          </w:p>
        </w:tc>
        <w:tc>
          <w:tcPr>
            <w:tcW w:w="922" w:type="pct"/>
            <w:shd w:val="clear" w:color="auto" w:fill="auto"/>
            <w:vAlign w:val="center"/>
          </w:tcPr>
          <w:p>
            <w:pPr>
              <w:jc w:val="center"/>
              <w:rPr>
                <w:rFonts w:ascii="宋体" w:hAnsi="宋体" w:cs="宋体"/>
              </w:rPr>
            </w:pPr>
            <w:r>
              <w:rPr>
                <w:rFonts w:hint="eastAsia" w:ascii="宋体" w:hAnsi="宋体" w:cs="宋体"/>
              </w:rPr>
              <w:t xml:space="preserve">8901</w:t>
            </w:r>
          </w:p>
        </w:tc>
        <w:tc>
          <w:tcPr>
            <w:tcW w:w="922" w:type="pct"/>
            <w:shd w:val="clear" w:color="auto" w:fill="auto"/>
            <w:vAlign w:val="center"/>
          </w:tcPr>
          <w:p>
            <w:pPr>
              <w:jc w:val="center"/>
              <w:rPr>
                <w:rFonts w:ascii="宋体" w:hAnsi="宋体" w:cs="宋体"/>
              </w:rPr>
            </w:pPr>
            <w:r>
              <w:rPr>
                <w:rFonts w:hint="eastAsia" w:ascii="宋体" w:hAnsi="宋体" w:cs="宋体"/>
              </w:rPr>
              <w:t xml:space="preserve">8208</w:t>
            </w:r>
          </w:p>
        </w:tc>
        <w:tc>
          <w:tcPr>
            <w:tcW w:w="922" w:type="pct"/>
            <w:shd w:val="clear" w:color="auto" w:fill="auto"/>
            <w:vAlign w:val="center"/>
          </w:tcPr>
          <w:p>
            <w:pPr>
              <w:jc w:val="center"/>
              <w:rPr>
                <w:rFonts w:ascii="宋体" w:hAnsi="宋体" w:cs="宋体"/>
              </w:rPr>
            </w:pPr>
            <w:r>
              <w:rPr>
                <w:rFonts w:hint="eastAsia" w:ascii="宋体" w:hAnsi="宋体" w:cs="宋体"/>
              </w:rPr>
              <w:t xml:space="preserve">8756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109.08/116.23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109.08/112.93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0.9894</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1.0055</w:t>
            </w:r>
          </w:p>
        </w:tc>
        <w:tc>
          <w:tcPr>
            <w:tcW w:w="922" w:type="pct"/>
            <w:shd w:val="clear" w:color="auto" w:fill="auto"/>
            <w:vAlign w:val="center"/>
          </w:tcPr>
          <w:p>
            <w:pPr>
              <w:jc w:val="center"/>
              <w:rPr>
                <w:rFonts w:ascii="宋体" w:hAnsi="宋体" w:cs="宋体"/>
              </w:rPr>
            </w:pPr>
            <w:r>
              <w:rPr>
                <w:rFonts w:hint="eastAsia" w:ascii="宋体" w:hAnsi="宋体" w:cs="宋体"/>
              </w:rPr>
              <w:t xml:space="preserve">0.9704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8148</w:t>
            </w:r>
          </w:p>
        </w:tc>
        <w:tc>
          <w:tcPr>
            <w:tcW w:w="922" w:type="pct"/>
            <w:shd w:val="clear" w:color="auto" w:fill="auto"/>
            <w:vAlign w:val="center"/>
          </w:tcPr>
          <w:p>
            <w:pPr>
              <w:jc w:val="center"/>
              <w:rPr>
                <w:rFonts w:ascii="宋体" w:hAnsi="宋体" w:cs="宋体"/>
              </w:rPr>
            </w:pPr>
            <w:r>
              <w:rPr>
                <w:rFonts w:hint="eastAsia" w:ascii="宋体" w:hAnsi="宋体" w:cs="宋体"/>
              </w:rPr>
              <w:t xml:space="preserve">8850</w:t>
            </w:r>
          </w:p>
        </w:tc>
        <w:tc>
          <w:tcPr>
            <w:tcW w:w="922" w:type="pct"/>
            <w:shd w:val="clear" w:color="auto" w:fill="auto"/>
            <w:vAlign w:val="center"/>
          </w:tcPr>
          <w:p>
            <w:pPr>
              <w:jc w:val="center"/>
              <w:rPr>
                <w:rFonts w:ascii="宋体" w:hAnsi="宋体" w:cs="宋体"/>
              </w:rPr>
            </w:pPr>
            <w:r>
              <w:rPr>
                <w:rFonts w:hint="eastAsia" w:ascii="宋体" w:hAnsi="宋体" w:cs="宋体"/>
              </w:rPr>
              <w:t xml:space="preserve">7665</w:t>
            </w:r>
          </w:p>
        </w:tc>
        <w:tc>
          <w:tcPr>
            <w:tcW w:w="922" w:type="pct"/>
            <w:shd w:val="clear" w:color="auto" w:fill="auto"/>
            <w:vAlign w:val="center"/>
          </w:tcPr>
          <w:p>
            <w:pPr>
              <w:jc w:val="center"/>
              <w:rPr>
                <w:rFonts w:ascii="宋体" w:hAnsi="宋体" w:cs="宋体"/>
              </w:rPr>
            </w:pPr>
            <w:r>
              <w:rPr>
                <w:rFonts w:hint="eastAsia" w:ascii="宋体" w:hAnsi="宋体" w:cs="宋体"/>
              </w:rPr>
              <w:t xml:space="preserve">8455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8148</w:t>
            </w:r>
          </w:p>
        </w:tc>
        <w:tc>
          <w:tcPr>
            <w:tcW w:w="922" w:type="pct"/>
            <w:shd w:val="clear" w:color="auto" w:fill="auto"/>
            <w:vAlign w:val="center"/>
          </w:tcPr>
          <w:p>
            <w:pPr>
              <w:jc w:val="center"/>
              <w:rPr>
                <w:rFonts w:ascii="宋体" w:hAnsi="宋体" w:cs="宋体"/>
              </w:rPr>
            </w:pPr>
            <w:r>
              <w:rPr>
                <w:rFonts w:hint="eastAsia" w:ascii="宋体" w:hAnsi="宋体" w:cs="宋体"/>
              </w:rPr>
              <w:t xml:space="preserve">8850</w:t>
            </w:r>
          </w:p>
        </w:tc>
        <w:tc>
          <w:tcPr>
            <w:tcW w:w="922" w:type="pct"/>
            <w:shd w:val="clear" w:color="auto" w:fill="auto"/>
            <w:vAlign w:val="center"/>
          </w:tcPr>
          <w:p>
            <w:pPr>
              <w:jc w:val="center"/>
              <w:rPr>
                <w:rFonts w:ascii="宋体" w:hAnsi="宋体" w:cs="宋体"/>
              </w:rPr>
            </w:pPr>
            <w:r>
              <w:rPr>
                <w:rFonts w:hint="eastAsia" w:ascii="宋体" w:hAnsi="宋体" w:cs="宋体"/>
              </w:rPr>
              <w:t xml:space="preserve">7665</w:t>
            </w:r>
          </w:p>
        </w:tc>
        <w:tc>
          <w:tcPr>
            <w:tcW w:w="922" w:type="pct"/>
            <w:shd w:val="clear" w:color="auto" w:fill="auto"/>
            <w:vAlign w:val="center"/>
          </w:tcPr>
          <w:p>
            <w:pPr>
              <w:jc w:val="center"/>
              <w:rPr>
                <w:rFonts w:ascii="宋体" w:hAnsi="宋体" w:cs="宋体"/>
              </w:rPr>
            </w:pPr>
            <w:r>
              <w:rPr>
                <w:rFonts w:hint="eastAsia" w:ascii="宋体" w:hAnsi="宋体" w:cs="宋体"/>
              </w:rPr>
              <w:t xml:space="preserve">8455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8280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F32050920230006113</w:t>
            </w:r>
          </w:p>
        </w:tc>
        <w:tc>
          <w:tcPr>
            <w:tcW w:w="1842" w:type="dxa"/>
            <w:vAlign w:val="center"/>
          </w:tcPr>
          <w:p>
            <w:pPr>
              <w:jc w:val="center"/>
            </w:pPr>
            <w:r>
              <w:rPr>
                <w:rFonts w:hint="eastAsia" w:ascii="宋体" w:hAnsi="宋体" w:cs="宋体"/>
              </w:rPr>
              <w:t xml:space="preserve">F32050920230006413</w:t>
            </w:r>
          </w:p>
        </w:tc>
        <w:tc>
          <w:tcPr>
            <w:tcW w:w="1843" w:type="dxa"/>
            <w:vAlign w:val="center"/>
          </w:tcPr>
          <w:p>
            <w:pPr>
              <w:jc w:val="center"/>
            </w:pPr>
            <w:r>
              <w:rPr>
                <w:rFonts w:hint="eastAsia" w:ascii="宋体" w:hAnsi="宋体" w:cs="宋体"/>
              </w:rPr>
              <w:t xml:space="preserve">s202302080060</w:t>
            </w:r>
          </w:p>
        </w:tc>
        <w:tc>
          <w:tcPr>
            <w:tcW w:w="1985" w:type="dxa"/>
            <w:vAlign w:val="center"/>
          </w:tcPr>
          <w:p>
            <w:pPr>
              <w:jc w:val="center"/>
            </w:pPr>
            <w:r>
              <w:rPr>
                <w:rFonts w:hint="eastAsia" w:ascii="宋体" w:hAnsi="宋体" w:cs="宋体"/>
              </w:rPr>
              <w:t xml:space="preserve">s202210250053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印象家园12幢1006</w:t>
            </w:r>
          </w:p>
        </w:tc>
        <w:tc>
          <w:tcPr>
            <w:tcW w:w="1842" w:type="dxa"/>
            <w:vAlign w:val="center"/>
          </w:tcPr>
          <w:p>
            <w:pPr>
              <w:jc w:val="center"/>
            </w:pPr>
            <w:r>
              <w:rPr>
                <w:rFonts w:hint="eastAsia" w:ascii="宋体" w:hAnsi="宋体" w:cs="宋体"/>
              </w:rPr>
              <w:t xml:space="preserve">南太湖大道333号2幢605</w:t>
            </w:r>
          </w:p>
        </w:tc>
        <w:tc>
          <w:tcPr>
            <w:tcW w:w="1843" w:type="dxa"/>
            <w:vAlign w:val="center"/>
          </w:tcPr>
          <w:p>
            <w:pPr>
              <w:jc w:val="center"/>
            </w:pPr>
            <w:r>
              <w:rPr>
                <w:rFonts w:hint="eastAsia" w:ascii="宋体" w:hAnsi="宋体" w:cs="宋体"/>
              </w:rPr>
              <w:t xml:space="preserve">祥运花苑36幢1203</w:t>
            </w:r>
          </w:p>
        </w:tc>
        <w:tc>
          <w:tcPr>
            <w:tcW w:w="1985" w:type="dxa"/>
            <w:vAlign w:val="center"/>
          </w:tcPr>
          <w:p>
            <w:pPr>
              <w:jc w:val="center"/>
            </w:pPr>
            <w:r>
              <w:rPr>
                <w:rFonts w:hint="eastAsia" w:ascii="宋体" w:hAnsi="宋体" w:cs="宋体"/>
              </w:rPr>
              <w:t xml:space="preserve">新东华庭5幢601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印象家园12幢1006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5" style="height:130pt;width:180pt" o:spid="_x0000_i106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36" style="height:130pt;width:180pt" o:spid="_x0000_i1063"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南太湖大道333号2幢605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7" style="height:130pt;width:180pt" o:spid="_x0000_i106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38" style="height:130pt;width:180pt" o:spid="_x0000_i1065"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祥运花苑36幢1203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39" style="height:130pt;width:180pt" o:spid="_x0000_i1066"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40" style="height:130pt;width:180pt" o:spid="_x0000_i1067"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新东华庭5幢601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1041" style="height:130pt;width:180pt" o:spid="_x0000_i1068"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1042" style="height:130pt;width:180pt" o:spid="_x0000_i1069"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50" style="height:420pt;rotation:-90;width:530pt" o:spid="_x0000_i1070"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49" style="height:420pt;rotation:-90;width:530pt" o:spid="_x0000_i1071"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1047" style="height:225pt;width:315pt" o:spid="_x0000_i1072"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1048" style="height:0;width:0" o:spid="_x0000_i1073"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2020-03-31T02:20:00Z</cp:lastPrinted>
  <dcterms:created xsi:type="dcterms:W3CDTF">2023-05-06T01:44:00Z</dcterms:created>
  <dcterms:modified xsi:type="dcterms:W3CDTF">2023-06-30T08:57:20Z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