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苏吴地评估字(2023)吴江第00427号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苏州市吴江区震泽镇</w:t>
      </w:r>
      <w:r>
        <w:rPr>
          <w:rFonts w:ascii="宋体" w:hAnsi="宋体" w:eastAsia="宋体" w:asciiTheme="minorEastAsia" w:hAnsiTheme="minorEastAsia" w:eastAsiaTheme="minorEastAsia"/>
          <w:sz w:val="24"/>
          <w:szCs w:val="24"/>
        </w:rPr>
        <w:t xml:space="preserve">石瑾新村普通多层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估价对象位于苏州市吴江区区域范围内的石瑾新村住宅小区普通多层存量房。该小区内的物业类型包括：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月修订版），结合估价人员现场查勘，选取石瑾新村</w:t>
      </w:r>
      <w:r>
        <w:rPr>
          <w:rFonts w:ascii="宋体"/>
          <w:sz w:val="24"/>
        </w:rPr>
        <w:t xml:space="preserve">14幢102室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82.56</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widowControl w:val="0"/>
        <w:spacing w:line="360" w:lineRule="auto"/>
        <w:ind w:right="6"/>
        <w:jc w:val="both"/>
        <w:rPr>
          <w:rFonts w:ascii="黑体" w:hAnsi="宋体" w:eastAsia="黑体"/>
          <w:sz w:val="28"/>
          <w:szCs w:val="28"/>
        </w:rPr>
      </w:pP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2023年06月27日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陆仟柒佰伍拾贰元整</w:t>
      </w:r>
      <w:r>
        <w:rPr>
          <w:rFonts w:hint="eastAsia" w:ascii="宋体" w:hAnsi="宋体"/>
          <w:b/>
          <w:bCs/>
          <w:sz w:val="24"/>
        </w:rPr>
        <w:t xml:space="preserve">（RMB</w:t>
      </w:r>
      <w:r>
        <w:rPr>
          <w:rFonts w:ascii="宋体" w:hAnsi="宋体"/>
          <w:b/>
          <w:bCs/>
          <w:sz w:val="24"/>
        </w:rPr>
        <w:t xml:space="preserve"> 6752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估价对象为石瑾新村</w:t>
      </w:r>
      <w:r>
        <w:rPr>
          <w:rFonts w:ascii="宋体" w:hAnsi="宋体"/>
          <w:sz w:val="24"/>
        </w:rPr>
        <w:t xml:space="preserve">14幢102室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快鸭港大街西侧</w:t>
      </w:r>
      <w:r>
        <w:rPr>
          <w:rFonts w:hint="eastAsia" w:hAnsi="宋体"/>
          <w:sz w:val="24"/>
        </w:rPr>
        <w:t xml:space="preserve">的“石瑾新村”住宅区内。</w:t>
      </w:r>
      <w:r>
        <w:rPr>
          <w:rFonts w:hint="eastAsia" w:ascii="宋体" w:hAnsi="宋体"/>
          <w:sz w:val="24"/>
        </w:rPr>
        <w:t xml:space="preserve">估价对象东至</w:t>
      </w:r>
      <w:r>
        <w:rPr>
          <w:rFonts w:ascii="宋体" w:hAnsi="宋体"/>
          <w:sz w:val="24"/>
          <w:szCs w:val="24"/>
        </w:rPr>
        <w:t xml:space="preserve">快鸭港大街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慈云大道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南浦浜路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镇南路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82.56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快鸭港大街西侧</w:t>
      </w:r>
      <w:r>
        <w:rPr>
          <w:rFonts w:hint="eastAsia" w:hAnsi="宋体"/>
          <w:sz w:val="24"/>
        </w:rPr>
        <w:t xml:space="preserve">的“石瑾新村”住宅区内。该小区内的物业类型包括：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石瑾新村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“石瑾新村”小区</w:t>
            </w:r>
            <w:r>
              <w:rPr>
                <w:rFonts w:ascii="Cambria" w:hAnsi="宋体" w:eastAsia="黑体" w:cs="Times New Roman" w:asciiTheme="majorHAnsi" w:cstheme="majorBidi"/>
                <w:sz w:val="15"/>
                <w:szCs w:val="15"/>
              </w:rPr>
              <w:t xml:space="preserve">14幢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由于石瑾新村市场交易不活跃，片区内可选案例较少，因此选择的案例A，B，C，D，距离在3公里以外。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石瑾新村住宅2023年6月挂牌均价9036元/平方米，较年初持平。待评估二手房住宅近6个月（2023年01月-2023年06月）挂牌均价波动幅度较小，价格维持在9036元/平方米左右。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均价说明：石瑾新村小区物业类型包括：普通多层,房源均价为:9036元/平方米，包含毛坯价值以及附带装修价值。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该房屋为5层住宅楼的第1层，建于1993年，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82.56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陆仟柒佰伍拾贰元整</w:t>
      </w:r>
      <w:r>
        <w:rPr>
          <w:rFonts w:hint="eastAsia" w:ascii="宋体" w:hAnsi="宋体"/>
          <w:b/>
          <w:bCs/>
          <w:sz w:val="24"/>
        </w:rPr>
        <w:t xml:space="preserve">（RMB </w:t>
      </w:r>
      <w:r>
        <w:rPr>
          <w:rFonts w:ascii="宋体" w:hAnsi="宋体"/>
          <w:b/>
          <w:bCs/>
          <w:sz w:val="24"/>
        </w:rPr>
        <w:t xml:space="preserve">6752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55.74</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6752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2023年06月27日</w:t>
      </w:r>
      <w:r>
        <w:rPr>
          <w:rFonts w:hint="eastAsia" w:ascii="宋体"/>
          <w:sz w:val="24"/>
        </w:rPr>
        <w:t xml:space="preserve">至2023年06月30日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估价对象为苏州市吴江区“石瑾新村”住宅区内的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南浦浜路东侧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南浦浜路东侧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附近有7501路、7502路、7507路等多条公交线路</w:t>
      </w:r>
      <w:r>
        <w:rPr>
          <w:rFonts w:hint="eastAsia" w:hAnsi="宋体"/>
          <w:sz w:val="24"/>
        </w:rPr>
        <w:t xml:space="preserve">，</w:t>
      </w:r>
      <w:r>
        <w:rPr>
          <w:rFonts w:hAnsi="宋体"/>
          <w:sz w:val="24"/>
        </w:rPr>
        <w:t xml:space="preserve">至公交站点的距离约为260米，公交班次平均隔10分钟有一辆汽车通过。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中国银行(吴江震泽支行)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震泽农贸市场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震泽镇中心幼儿园</w:t>
      </w:r>
      <w:r>
        <w:rPr>
          <w:rFonts w:hint="eastAsia" w:ascii="宋体" w:hAnsi="宋体" w:eastAsia="宋体" w:asciiTheme="minorEastAsia" w:hAnsiTheme="minorEastAsia" w:eastAsiaTheme="minorEastAsia"/>
          <w:sz w:val="24"/>
        </w:rPr>
        <w:t xml:space="preserve">、</w:t>
      </w:r>
      <w:r>
        <w:rPr>
          <w:rFonts w:hAnsi="宋体"/>
          <w:sz w:val="24"/>
        </w:rPr>
        <w:t xml:space="preserve">震泽实验小学</w:t>
      </w:r>
      <w:r>
        <w:rPr>
          <w:rFonts w:hint="eastAsia" w:hAnsi="宋体"/>
          <w:sz w:val="24"/>
        </w:rPr>
        <w:t xml:space="preserve">、</w:t>
      </w:r>
      <w:r>
        <w:rPr>
          <w:rFonts w:hAnsi="宋体"/>
          <w:sz w:val="24"/>
        </w:rPr>
        <w:t xml:space="preserve">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快鸭港大街</w:t>
      </w:r>
      <w:r>
        <w:rPr>
          <w:rFonts w:hint="eastAsia" w:ascii="宋体" w:hAnsi="宋体"/>
          <w:sz w:val="24"/>
        </w:rPr>
        <w:t xml:space="preserve">，南至</w:t>
      </w:r>
      <w:r>
        <w:rPr>
          <w:rFonts w:ascii="宋体" w:hAnsi="宋体"/>
          <w:sz w:val="24"/>
        </w:rPr>
        <w:t xml:space="preserve">慈云大道</w:t>
      </w:r>
      <w:r>
        <w:rPr>
          <w:rFonts w:hint="eastAsia" w:ascii="宋体" w:hAnsi="宋体"/>
          <w:sz w:val="24"/>
        </w:rPr>
        <w:t xml:space="preserve">，西至</w:t>
      </w:r>
      <w:r>
        <w:rPr>
          <w:rFonts w:ascii="宋体" w:hAnsi="宋体"/>
          <w:sz w:val="24"/>
        </w:rPr>
        <w:t xml:space="preserve">南浦浜路</w:t>
      </w:r>
      <w:r>
        <w:rPr>
          <w:rFonts w:hint="eastAsia" w:ascii="宋体" w:hAnsi="宋体"/>
          <w:sz w:val="24"/>
        </w:rPr>
        <w:t xml:space="preserve">，北至</w:t>
      </w:r>
      <w:r>
        <w:rPr>
          <w:rFonts w:ascii="宋体" w:hAnsi="宋体"/>
          <w:sz w:val="24"/>
        </w:rPr>
        <w:t xml:space="preserve">镇南路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估价对象为坐落于苏州市吴江区石瑾新村</w:t>
      </w:r>
      <w:r>
        <w:t xml:space="preserve"> </w:t>
      </w:r>
      <w:r>
        <w:rPr>
          <w:rFonts w:ascii="宋体" w:hAnsi="宋体"/>
          <w:kern w:val="2"/>
          <w:sz w:val="24"/>
        </w:rPr>
        <w:t xml:space="preserve">14幢102室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82.56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估价对象建成于1993年，基础较为稳固，未见沉降；墙面、地面、门窗等保养完好，综合保养成新度为</w:t>
      </w:r>
      <w:r>
        <w:rPr>
          <w:rFonts w:hAnsi="宋体"/>
          <w:sz w:val="24"/>
        </w:rPr>
        <w:t xml:space="preserve">六五成新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石瑾新村住宅2023年6月挂牌均价9036元/平方米，较年初持平。待评估二手房住宅近6个月（2023年01月-2023年06月）挂牌均价波动幅度较小，价格维持在9036元/平方米左右。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苏州市吴江区石瑾新村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F32050920230005440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F32050920230006300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s202302080061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s202302080062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吴江区震泽镇石瑾新村14幢102室普通多层住宅标准房基准价格评估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平西新村9幢306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新天地家园16幢607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平西新村14幢305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平西新村14幢503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7039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6527</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bookmarkStart w:name="_GoBack" w:id="10"/>
      <w:bookmarkEnd w:id="10"/>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2023年05月27日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7039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6435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6624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6527</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1.041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备注：在价值时点2023年06月27日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2325665" w:id="11"/>
      <w:bookmarkStart w:name="_Toc35159683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1596838" w:id="17"/>
      <w:bookmarkStart w:name="_Toc35232566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45423544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吴江区震泽镇石瑾新村14幢102室普通多层住宅标准房基准价格评估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平西新村9幢306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新天地家园16幢607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平西新村14幢305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平西新村14幢503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6527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6727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7039</w:t>
            </w:r>
          </w:p>
        </w:tc>
        <w:tc>
          <w:tcPr>
            <w:tcW w:w="922" w:type="pct"/>
            <w:shd w:val="clear" w:color="auto" w:fill="auto"/>
            <w:vAlign w:val="center"/>
          </w:tcPr>
          <w:p>
            <w:pPr>
              <w:jc w:val="center"/>
              <w:rPr>
                <w:rFonts w:ascii="宋体" w:hAnsi="宋体" w:cs="宋体"/>
              </w:rPr>
            </w:pPr>
            <w:r>
              <w:rPr>
                <w:rFonts w:hint="eastAsia" w:ascii="宋体" w:hAnsi="宋体" w:cs="宋体"/>
              </w:rPr>
              <w:t xml:space="preserve">6435</w:t>
            </w:r>
          </w:p>
        </w:tc>
        <w:tc>
          <w:tcPr>
            <w:tcW w:w="922" w:type="pct"/>
            <w:shd w:val="clear" w:color="auto" w:fill="auto"/>
            <w:vAlign w:val="center"/>
          </w:tcPr>
          <w:p>
            <w:pPr>
              <w:jc w:val="center"/>
              <w:rPr>
                <w:rFonts w:ascii="宋体" w:hAnsi="宋体" w:cs="宋体"/>
              </w:rPr>
            </w:pPr>
            <w:r>
              <w:rPr>
                <w:rFonts w:hint="eastAsia" w:ascii="宋体" w:hAnsi="宋体" w:cs="宋体"/>
              </w:rPr>
              <w:t xml:space="preserve">6624</w:t>
            </w:r>
          </w:p>
        </w:tc>
        <w:tc>
          <w:tcPr>
            <w:tcW w:w="922" w:type="pct"/>
            <w:shd w:val="clear" w:color="auto" w:fill="auto"/>
            <w:vAlign w:val="center"/>
          </w:tcPr>
          <w:p>
            <w:pPr>
              <w:jc w:val="center"/>
              <w:rPr>
                <w:rFonts w:ascii="宋体" w:hAnsi="宋体" w:cs="宋体"/>
              </w:rPr>
            </w:pPr>
            <w:r>
              <w:rPr>
                <w:rFonts w:hint="eastAsia" w:ascii="宋体" w:hAnsi="宋体" w:cs="宋体"/>
              </w:rPr>
              <w:t xml:space="preserve">6527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1.0307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7113</w:t>
            </w:r>
          </w:p>
        </w:tc>
        <w:tc>
          <w:tcPr>
            <w:tcW w:w="922" w:type="pct"/>
            <w:shd w:val="clear" w:color="auto" w:fill="auto"/>
            <w:vAlign w:val="center"/>
          </w:tcPr>
          <w:p>
            <w:pPr>
              <w:jc w:val="center"/>
              <w:rPr>
                <w:rFonts w:ascii="宋体" w:hAnsi="宋体" w:cs="宋体"/>
              </w:rPr>
            </w:pPr>
            <w:r>
              <w:rPr>
                <w:rFonts w:hint="eastAsia" w:ascii="宋体" w:hAnsi="宋体" w:cs="宋体"/>
              </w:rPr>
              <w:t xml:space="preserve">6472</w:t>
            </w:r>
          </w:p>
        </w:tc>
        <w:tc>
          <w:tcPr>
            <w:tcW w:w="922" w:type="pct"/>
            <w:shd w:val="clear" w:color="auto" w:fill="auto"/>
            <w:vAlign w:val="center"/>
          </w:tcPr>
          <w:p>
            <w:pPr>
              <w:jc w:val="center"/>
              <w:rPr>
                <w:rFonts w:ascii="宋体" w:hAnsi="宋体" w:cs="宋体"/>
              </w:rPr>
            </w:pPr>
            <w:r>
              <w:rPr>
                <w:rFonts w:hint="eastAsia" w:ascii="宋体" w:hAnsi="宋体" w:cs="宋体"/>
              </w:rPr>
              <w:t xml:space="preserve">6694</w:t>
            </w:r>
          </w:p>
        </w:tc>
        <w:tc>
          <w:tcPr>
            <w:tcW w:w="922" w:type="pct"/>
            <w:shd w:val="clear" w:color="auto" w:fill="auto"/>
            <w:vAlign w:val="center"/>
          </w:tcPr>
          <w:p>
            <w:pPr>
              <w:jc w:val="center"/>
              <w:rPr>
                <w:rFonts w:ascii="宋体" w:hAnsi="宋体" w:cs="宋体"/>
              </w:rPr>
            </w:pPr>
            <w:r>
              <w:rPr>
                <w:rFonts w:hint="eastAsia" w:ascii="宋体" w:hAnsi="宋体" w:cs="宋体"/>
              </w:rPr>
              <w:t xml:space="preserve">6727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7113</w:t>
            </w:r>
          </w:p>
        </w:tc>
        <w:tc>
          <w:tcPr>
            <w:tcW w:w="922" w:type="pct"/>
            <w:shd w:val="clear" w:color="auto" w:fill="auto"/>
            <w:vAlign w:val="center"/>
          </w:tcPr>
          <w:p>
            <w:pPr>
              <w:jc w:val="center"/>
              <w:rPr>
                <w:rFonts w:ascii="宋体" w:hAnsi="宋体" w:cs="宋体"/>
              </w:rPr>
            </w:pPr>
            <w:r>
              <w:rPr>
                <w:rFonts w:hint="eastAsia" w:ascii="宋体" w:hAnsi="宋体" w:cs="宋体"/>
              </w:rPr>
              <w:t xml:space="preserve">6472</w:t>
            </w:r>
          </w:p>
        </w:tc>
        <w:tc>
          <w:tcPr>
            <w:tcW w:w="922" w:type="pct"/>
            <w:shd w:val="clear" w:color="auto" w:fill="auto"/>
            <w:vAlign w:val="center"/>
          </w:tcPr>
          <w:p>
            <w:pPr>
              <w:jc w:val="center"/>
              <w:rPr>
                <w:rFonts w:ascii="宋体" w:hAnsi="宋体" w:cs="宋体"/>
              </w:rPr>
            </w:pPr>
            <w:r>
              <w:rPr>
                <w:rFonts w:hint="eastAsia" w:ascii="宋体" w:hAnsi="宋体" w:cs="宋体"/>
              </w:rPr>
              <w:t xml:space="preserve">6694</w:t>
            </w:r>
          </w:p>
        </w:tc>
        <w:tc>
          <w:tcPr>
            <w:tcW w:w="922" w:type="pct"/>
            <w:shd w:val="clear" w:color="auto" w:fill="auto"/>
            <w:vAlign w:val="center"/>
          </w:tcPr>
          <w:p>
            <w:pPr>
              <w:jc w:val="center"/>
              <w:rPr>
                <w:rFonts w:ascii="宋体" w:hAnsi="宋体" w:cs="宋体"/>
              </w:rPr>
            </w:pPr>
            <w:r>
              <w:rPr>
                <w:rFonts w:hint="eastAsia" w:ascii="宋体" w:hAnsi="宋体" w:cs="宋体"/>
              </w:rPr>
              <w:t xml:space="preserve">6727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6752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32222395" w:id="21"/>
      <w:bookmarkStart w:name="_Toc532675907"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F32050920230005440</w:t>
            </w:r>
          </w:p>
        </w:tc>
        <w:tc>
          <w:tcPr>
            <w:tcW w:w="1842" w:type="dxa"/>
            <w:vAlign w:val="center"/>
          </w:tcPr>
          <w:p>
            <w:pPr>
              <w:jc w:val="center"/>
            </w:pPr>
            <w:r>
              <w:rPr>
                <w:rFonts w:hint="eastAsia" w:ascii="宋体" w:hAnsi="宋体" w:cs="宋体"/>
              </w:rPr>
              <w:t xml:space="preserve">F32050920230006300</w:t>
            </w:r>
          </w:p>
        </w:tc>
        <w:tc>
          <w:tcPr>
            <w:tcW w:w="1843" w:type="dxa"/>
            <w:vAlign w:val="center"/>
          </w:tcPr>
          <w:p>
            <w:pPr>
              <w:jc w:val="center"/>
            </w:pPr>
            <w:r>
              <w:rPr>
                <w:rFonts w:hint="eastAsia" w:ascii="宋体" w:hAnsi="宋体" w:cs="宋体"/>
              </w:rPr>
              <w:t xml:space="preserve">s202302080061</w:t>
            </w:r>
          </w:p>
        </w:tc>
        <w:tc>
          <w:tcPr>
            <w:tcW w:w="1985" w:type="dxa"/>
            <w:vAlign w:val="center"/>
          </w:tcPr>
          <w:p>
            <w:pPr>
              <w:jc w:val="center"/>
            </w:pPr>
            <w:r>
              <w:rPr>
                <w:rFonts w:hint="eastAsia" w:ascii="宋体" w:hAnsi="宋体" w:cs="宋体"/>
              </w:rPr>
              <w:t xml:space="preserve">s202302080062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平西新村9幢306</w:t>
            </w:r>
          </w:p>
        </w:tc>
        <w:tc>
          <w:tcPr>
            <w:tcW w:w="1842" w:type="dxa"/>
            <w:vAlign w:val="center"/>
          </w:tcPr>
          <w:p>
            <w:pPr>
              <w:jc w:val="center"/>
            </w:pPr>
            <w:r>
              <w:rPr>
                <w:rFonts w:hint="eastAsia" w:ascii="宋体" w:hAnsi="宋体" w:cs="宋体"/>
              </w:rPr>
              <w:t xml:space="preserve">新天地家园16幢607</w:t>
            </w:r>
          </w:p>
        </w:tc>
        <w:tc>
          <w:tcPr>
            <w:tcW w:w="1843" w:type="dxa"/>
            <w:vAlign w:val="center"/>
          </w:tcPr>
          <w:p>
            <w:pPr>
              <w:jc w:val="center"/>
            </w:pPr>
            <w:r>
              <w:rPr>
                <w:rFonts w:hint="eastAsia" w:ascii="宋体" w:hAnsi="宋体" w:cs="宋体"/>
              </w:rPr>
              <w:t xml:space="preserve">平西新村14幢305</w:t>
            </w:r>
          </w:p>
        </w:tc>
        <w:tc>
          <w:tcPr>
            <w:tcW w:w="1985" w:type="dxa"/>
            <w:vAlign w:val="center"/>
          </w:tcPr>
          <w:p>
            <w:pPr>
              <w:jc w:val="center"/>
            </w:pPr>
            <w:r>
              <w:rPr>
                <w:rFonts w:hint="eastAsia" w:ascii="宋体" w:hAnsi="宋体" w:cs="宋体"/>
              </w:rPr>
              <w:t xml:space="preserve">平西新村14幢503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平西新村9幢306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新天地家园16幢607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平西新村14幢305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平西新村14幢503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8"/>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19"/>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1"/>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2"/>
                </v:shape>
              </w:pict>
            </w:r>
          </w:p>
        </w:tc>
      </w:tr>
    </w:tbl>
    <w:p>
      <w:pPr>
        <w:spacing w:line="360" w:lineRule="auto"/>
        <w:jc w:val="both"/>
        <w:rPr>
          <w:rFonts w:ascii="仿宋_GB2312" w:hAnsi="华文仿宋" w:eastAsia="仿宋_GB2312"/>
          <w:bCs/>
          <w:sz w:val="28"/>
          <w:szCs w:val="28"/>
        </w:rPr>
      </w:pPr>
    </w:p>
    <w:sectPr>
      <w:footerReference w:type="default" r:id="rId23"/>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footer" Target="footer2.xml" /><Relationship Id="rId24" Type="http://schemas.openxmlformats.org/officeDocument/2006/relationships/theme" Target="theme/theme1.xml" /><Relationship Id="rId25" Type="http://schemas.openxmlformats.org/officeDocument/2006/relationships/styles" Target="styles.xml" /><Relationship Id="rId26" Type="http://schemas.openxmlformats.org/officeDocument/2006/relationships/webSettings" Target="webSettings.xml" /><Relationship Id="rId27" Type="http://schemas.openxmlformats.org/officeDocument/2006/relationships/numbering" Target="numbering.xml" /><Relationship Id="rId28" Type="http://schemas.openxmlformats.org/officeDocument/2006/relationships/fontTable" Target="fontTable.xml" /><Relationship Id="rId29"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pn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2020-03-30T18:20:00Z</cp:lastPrinted>
  <dcterms:created xsi:type="dcterms:W3CDTF">2023-05-05T17:44:00Z</dcterms:created>
  <dcterms:modified xsi:type="dcterms:W3CDTF">2023-06-28T10:12:05Z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