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苏吴地评估字(2023)吴江第00980号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湖悦天境高层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估价对象位于苏州市吴江区区域范围内的湖悦天境住宅小区高层存量房。该小区内的物业类型包括：</w:t>
      </w:r>
      <w:r>
        <w:rPr>
          <w:rFonts w:ascii="宋体"/>
          <w:sz w:val="24"/>
        </w:rPr>
        <w:t xml:space="preserve">高层、叠加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月修订版），结合估价人员现场查勘，选取湖悦天境</w:t>
      </w:r>
      <w:r>
        <w:rPr>
          <w:rFonts w:ascii="宋体"/>
          <w:sz w:val="24"/>
        </w:rPr>
        <w:t xml:space="preserve">5幢103室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24</w:t>
      </w:r>
      <w:r>
        <w:rPr>
          <w:rFonts w:hint="eastAsia" w:ascii="宋体"/>
          <w:sz w:val="24"/>
        </w:rPr>
        <w:t xml:space="preserve">层，建筑面积</w:t>
      </w:r>
      <w:r>
        <w:rPr>
          <w:rFonts w:ascii="宋体"/>
          <w:sz w:val="24"/>
        </w:rPr>
        <w:t xml:space="preserve">95.12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2086年10月06日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壹万叁仟柒佰陆拾叁元整</w:t>
      </w:r>
      <w:r>
        <w:rPr>
          <w:rFonts w:hint="eastAsia" w:ascii="宋体" w:hAnsi="宋体"/>
          <w:b/>
          <w:bCs/>
          <w:sz w:val="24"/>
        </w:rPr>
        <w:t xml:space="preserve">（RMB</w:t>
      </w:r>
      <w:r>
        <w:rPr>
          <w:rFonts w:ascii="宋体" w:hAnsi="宋体"/>
          <w:b/>
          <w:bCs/>
          <w:sz w:val="24"/>
        </w:rPr>
        <w:t xml:space="preserve"> 13763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估价对象为湖悦天境</w:t>
      </w:r>
      <w:r>
        <w:rPr>
          <w:rFonts w:ascii="宋体" w:hAnsi="宋体"/>
          <w:sz w:val="24"/>
        </w:rPr>
        <w:t xml:space="preserve">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海南路西侧</w:t>
      </w:r>
      <w:r>
        <w:rPr>
          <w:rFonts w:hint="eastAsia" w:hAnsi="宋体"/>
          <w:sz w:val="24"/>
        </w:rPr>
        <w:t xml:space="preserve">的“湖悦天境”住宅区内。</w:t>
      </w:r>
      <w:r>
        <w:rPr>
          <w:rFonts w:hint="eastAsia" w:ascii="宋体" w:hAnsi="宋体"/>
          <w:sz w:val="24"/>
        </w:rPr>
        <w:t xml:space="preserve">估价对象东至</w:t>
      </w:r>
      <w:r>
        <w:rPr>
          <w:rFonts w:ascii="宋体" w:hAnsi="宋体"/>
          <w:sz w:val="24"/>
          <w:szCs w:val="24"/>
        </w:rPr>
        <w:t xml:space="preserve">海南路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浦港路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杭州路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北京路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95.12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海南路西侧</w:t>
      </w:r>
      <w:r>
        <w:rPr>
          <w:rFonts w:hint="eastAsia" w:hAnsi="宋体"/>
          <w:sz w:val="24"/>
        </w:rPr>
        <w:t xml:space="preserve">的“湖悦天境”住宅区内。该小区内的物业类型包括：</w:t>
      </w:r>
      <w:r>
        <w:rPr>
          <w:rFonts w:hAnsi="宋体"/>
          <w:sz w:val="24"/>
        </w:rPr>
        <w:t xml:space="preserve">高层、叠加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湖悦天境</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“湖悦天境”小区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由于湖悦天境市场交易不活跃，片区内可选案例较少，因此选择的案例A，B，C，D，距离在3公里以外。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湖悦天境住宅2023年11月挂牌均价17178元/平方米，较年初持平。待评估二手房住宅近11个月（2023年01月-2023年11月）挂牌均价波动幅度较小，价格维持在17178-19055元/平方米之间。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均价说明：湖悦天境小区物业类型包括：高层、叠加,房源均价为:17178元/平方米，包含毛坯价值以及附带装修价值。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该房屋为24层住宅楼的第1层，建于2018年，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95.12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2086年10月06日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壹万叁仟柒佰陆拾叁元整</w:t>
      </w:r>
      <w:r>
        <w:rPr>
          <w:rFonts w:hint="eastAsia" w:ascii="宋体" w:hAnsi="宋体"/>
          <w:b/>
          <w:bCs/>
          <w:sz w:val="24"/>
        </w:rPr>
        <w:t xml:space="preserve">（RMB </w:t>
      </w:r>
      <w:r>
        <w:rPr>
          <w:rFonts w:ascii="宋体" w:hAnsi="宋体"/>
          <w:b/>
          <w:bCs/>
          <w:sz w:val="24"/>
        </w:rPr>
        <w:t xml:space="preserve">13763</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130.92</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13763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2023年11月01日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估价对象为苏州市吴江区“湖悦天境”住宅区内的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浦港路北侧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浦港路北侧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附近有吴江795、7318、7307等多条公交线路</w:t>
      </w:r>
      <w:r>
        <w:rPr>
          <w:rFonts w:hint="eastAsia" w:hAnsi="宋体"/>
          <w:sz w:val="24"/>
        </w:rPr>
        <w:t xml:space="preserve">，</w:t>
      </w:r>
      <w:r>
        <w:rPr>
          <w:rFonts w:hAnsi="宋体"/>
          <w:sz w:val="24"/>
        </w:rPr>
        <w:t xml:space="preserve">至公交站点的距离约为270米，公交班次平均隔15分钟有一辆汽车通过。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乐购超市(汾湖店)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江苏银行(吴江汾湖支行)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浦北农贸市场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汾湖开发区实验幼儿园</w:t>
      </w:r>
      <w:r>
        <w:rPr>
          <w:rFonts w:hint="eastAsia" w:ascii="宋体" w:hAnsi="宋体" w:eastAsia="宋体" w:asciiTheme="minorEastAsia" w:hAnsiTheme="minorEastAsia" w:eastAsiaTheme="minorEastAsia"/>
          <w:sz w:val="24"/>
        </w:rPr>
        <w:t xml:space="preserve">、</w:t>
      </w:r>
      <w:r>
        <w:rPr>
          <w:rFonts w:hAnsi="宋体"/>
          <w:sz w:val="24"/>
        </w:rPr>
        <w:t xml:space="preserve">汾湖开发区实验小学</w:t>
      </w:r>
      <w:r>
        <w:rPr>
          <w:rFonts w:hint="eastAsia" w:hAnsi="宋体"/>
          <w:sz w:val="24"/>
        </w:rPr>
        <w:t xml:space="preserve">、</w:t>
      </w:r>
      <w:r>
        <w:rPr>
          <w:rFonts w:hAnsi="宋体"/>
          <w:sz w:val="24"/>
        </w:rPr>
        <w:t xml:space="preserve">芦墟第一中学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2086年10月06日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海南路</w:t>
      </w:r>
      <w:r>
        <w:rPr>
          <w:rFonts w:hint="eastAsia" w:ascii="宋体" w:hAnsi="宋体"/>
          <w:sz w:val="24"/>
        </w:rPr>
        <w:t xml:space="preserve">，南至</w:t>
      </w:r>
      <w:r>
        <w:rPr>
          <w:rFonts w:ascii="宋体" w:hAnsi="宋体"/>
          <w:sz w:val="24"/>
        </w:rPr>
        <w:t xml:space="preserve">浦港路</w:t>
      </w:r>
      <w:r>
        <w:rPr>
          <w:rFonts w:hint="eastAsia" w:ascii="宋体" w:hAnsi="宋体"/>
          <w:sz w:val="24"/>
        </w:rPr>
        <w:t xml:space="preserve">，西至</w:t>
      </w:r>
      <w:r>
        <w:rPr>
          <w:rFonts w:ascii="宋体" w:hAnsi="宋体"/>
          <w:sz w:val="24"/>
        </w:rPr>
        <w:t xml:space="preserve">杭州路</w:t>
      </w:r>
      <w:r>
        <w:rPr>
          <w:rFonts w:hint="eastAsia" w:ascii="宋体" w:hAnsi="宋体"/>
          <w:sz w:val="24"/>
        </w:rPr>
        <w:t xml:space="preserve">，北至</w:t>
      </w:r>
      <w:r>
        <w:rPr>
          <w:rFonts w:ascii="宋体" w:hAnsi="宋体"/>
          <w:sz w:val="24"/>
        </w:rPr>
        <w:t xml:space="preserve">北京路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估价对象为坐落于苏州市吴江区湖悦天境</w:t>
      </w:r>
      <w:r>
        <w:t xml:space="preserve"> </w:t>
      </w:r>
      <w:r>
        <w:rPr>
          <w:rFonts w:ascii="宋体" w:hAnsi="宋体"/>
          <w:kern w:val="2"/>
          <w:sz w:val="24"/>
        </w:rPr>
        <w:t xml:space="preserve">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95.12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3层数、层高：估价对象位于总楼层为24层的第1层，层高约2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估价对象建成于2018年，基础较为稳固，未见沉降；墙面、地面、门窗等保养完好，综合保养成新度为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湖悦天境住宅2023年11月挂牌均价17178元/平方米，较年初持平。待评估二手房住宅近11个月（2023年01月-2023年11月）挂牌均价波动幅度较小，价格维持在17178-19055元/平方米之间。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苏州市吴江区湖悦天境</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F32050920230004165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F32050920230003928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F32050920230005565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吴江区黎里镇湖悦天境5幢103室高层住宅标准房基准价格评估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河风印月华庭29幢306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伟业迎春华府20幢1208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天城花园40幢1001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盛誉华庭1幢1204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87.98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69.74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3/27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13876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13928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13928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2023年10月01日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13876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13928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13928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备注：在价值时点2023年11月01日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1775570415"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吴江区黎里镇湖悦天境5幢103室高层住宅标准房基准价格评估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河风印月华庭29幢306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伟业迎春华府20幢1208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天城花园40幢1001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盛誉华庭1幢1204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87.98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90.72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69.74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0.125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13928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13559</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13876</w:t>
            </w:r>
          </w:p>
        </w:tc>
        <w:tc>
          <w:tcPr>
            <w:tcW w:w="922" w:type="pct"/>
            <w:shd w:val="clear" w:color="auto" w:fill="auto"/>
            <w:vAlign w:val="center"/>
          </w:tcPr>
          <w:p>
            <w:pPr>
              <w:jc w:val="center"/>
              <w:rPr>
                <w:rFonts w:ascii="宋体" w:hAnsi="宋体" w:cs="宋体"/>
              </w:rPr>
            </w:pPr>
            <w:r>
              <w:rPr>
                <w:rFonts w:hint="eastAsia" w:ascii="宋体" w:hAnsi="宋体" w:cs="宋体"/>
              </w:rPr>
              <w:t xml:space="preserve">13928</w:t>
            </w:r>
          </w:p>
        </w:tc>
        <w:tc>
          <w:tcPr>
            <w:tcW w:w="922" w:type="pct"/>
            <w:shd w:val="clear" w:color="auto" w:fill="auto"/>
            <w:vAlign w:val="center"/>
          </w:tcPr>
          <w:p>
            <w:pPr>
              <w:jc w:val="center"/>
              <w:rPr>
                <w:rFonts w:ascii="宋体" w:hAnsi="宋体" w:cs="宋体"/>
              </w:rPr>
            </w:pPr>
            <w:r>
              <w:rPr>
                <w:rFonts w:hint="eastAsia" w:ascii="宋体" w:hAnsi="宋体" w:cs="宋体"/>
              </w:rPr>
              <w:t xml:space="preserve">13952</w:t>
            </w:r>
          </w:p>
        </w:tc>
        <w:tc>
          <w:tcPr>
            <w:tcW w:w="922" w:type="pct"/>
            <w:shd w:val="clear" w:color="auto" w:fill="auto"/>
            <w:vAlign w:val="center"/>
          </w:tcPr>
          <w:p>
            <w:pPr>
              <w:jc w:val="center"/>
              <w:rPr>
                <w:rFonts w:ascii="宋体" w:hAnsi="宋体" w:cs="宋体"/>
              </w:rPr>
            </w:pPr>
            <w:r>
              <w:rPr>
                <w:rFonts w:hint="eastAsia" w:ascii="宋体" w:hAnsi="宋体" w:cs="宋体"/>
              </w:rPr>
              <w:t xml:space="preserve">13928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1.0319</w:t>
            </w:r>
          </w:p>
        </w:tc>
        <w:tc>
          <w:tcPr>
            <w:tcW w:w="922" w:type="pct"/>
            <w:shd w:val="clear" w:color="auto" w:fill="auto"/>
            <w:vAlign w:val="center"/>
          </w:tcPr>
          <w:p>
            <w:pPr>
              <w:jc w:val="center"/>
              <w:rPr>
                <w:rFonts w:ascii="宋体" w:hAnsi="宋体" w:cs="宋体"/>
              </w:rPr>
            </w:pPr>
            <w:r>
              <w:rPr>
                <w:rFonts w:hint="eastAsia" w:ascii="宋体" w:hAnsi="宋体" w:cs="宋体"/>
              </w:rPr>
              <w:t xml:space="preserve">0.9978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1.009</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14319</w:t>
            </w:r>
          </w:p>
        </w:tc>
        <w:tc>
          <w:tcPr>
            <w:tcW w:w="922" w:type="pct"/>
            <w:shd w:val="clear" w:color="auto" w:fill="auto"/>
            <w:vAlign w:val="center"/>
          </w:tcPr>
          <w:p>
            <w:pPr>
              <w:jc w:val="center"/>
              <w:rPr>
                <w:rFonts w:ascii="宋体" w:hAnsi="宋体" w:cs="宋体"/>
              </w:rPr>
            </w:pPr>
            <w:r>
              <w:rPr>
                <w:rFonts w:hint="eastAsia" w:ascii="宋体" w:hAnsi="宋体" w:cs="宋体"/>
              </w:rPr>
              <w:t xml:space="preserve">13897</w:t>
            </w:r>
          </w:p>
        </w:tc>
        <w:tc>
          <w:tcPr>
            <w:tcW w:w="922" w:type="pct"/>
            <w:shd w:val="clear" w:color="auto" w:fill="auto"/>
            <w:vAlign w:val="center"/>
          </w:tcPr>
          <w:p>
            <w:pPr>
              <w:jc w:val="center"/>
              <w:rPr>
                <w:rFonts w:ascii="宋体" w:hAnsi="宋体" w:cs="宋体"/>
              </w:rPr>
            </w:pPr>
            <w:r>
              <w:rPr>
                <w:rFonts w:hint="eastAsia" w:ascii="宋体" w:hAnsi="宋体" w:cs="宋体"/>
              </w:rPr>
              <w:t xml:space="preserve">14078</w:t>
            </w:r>
          </w:p>
        </w:tc>
        <w:tc>
          <w:tcPr>
            <w:tcW w:w="922" w:type="pct"/>
            <w:shd w:val="clear" w:color="auto" w:fill="auto"/>
            <w:vAlign w:val="center"/>
          </w:tcPr>
          <w:p>
            <w:pPr>
              <w:jc w:val="center"/>
              <w:rPr>
                <w:rFonts w:ascii="宋体" w:hAnsi="宋体" w:cs="宋体"/>
              </w:rPr>
            </w:pPr>
            <w:r>
              <w:rPr>
                <w:rFonts w:hint="eastAsia" w:ascii="宋体" w:hAnsi="宋体" w:cs="宋体"/>
              </w:rPr>
              <w:t xml:space="preserve">13759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700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13619</w:t>
            </w:r>
          </w:p>
        </w:tc>
        <w:tc>
          <w:tcPr>
            <w:tcW w:w="922" w:type="pct"/>
            <w:shd w:val="clear" w:color="auto" w:fill="auto"/>
            <w:vAlign w:val="center"/>
          </w:tcPr>
          <w:p>
            <w:pPr>
              <w:jc w:val="center"/>
              <w:rPr>
                <w:rFonts w:ascii="宋体" w:hAnsi="宋体" w:cs="宋体"/>
              </w:rPr>
            </w:pPr>
            <w:r>
              <w:rPr>
                <w:rFonts w:hint="eastAsia" w:ascii="宋体" w:hAnsi="宋体" w:cs="宋体"/>
              </w:rPr>
              <w:t xml:space="preserve">13897</w:t>
            </w:r>
          </w:p>
        </w:tc>
        <w:tc>
          <w:tcPr>
            <w:tcW w:w="922" w:type="pct"/>
            <w:shd w:val="clear" w:color="auto" w:fill="auto"/>
            <w:vAlign w:val="center"/>
          </w:tcPr>
          <w:p>
            <w:pPr>
              <w:jc w:val="center"/>
              <w:rPr>
                <w:rFonts w:ascii="宋体" w:hAnsi="宋体" w:cs="宋体"/>
              </w:rPr>
            </w:pPr>
            <w:r>
              <w:rPr>
                <w:rFonts w:hint="eastAsia" w:ascii="宋体" w:hAnsi="宋体" w:cs="宋体"/>
              </w:rPr>
              <w:t xml:space="preserve">13978</w:t>
            </w:r>
          </w:p>
        </w:tc>
        <w:tc>
          <w:tcPr>
            <w:tcW w:w="922" w:type="pct"/>
            <w:shd w:val="clear" w:color="auto" w:fill="auto"/>
            <w:vAlign w:val="center"/>
          </w:tcPr>
          <w:p>
            <w:pPr>
              <w:jc w:val="center"/>
              <w:rPr>
                <w:rFonts w:ascii="宋体" w:hAnsi="宋体" w:cs="宋体"/>
              </w:rPr>
            </w:pPr>
            <w:r>
              <w:rPr>
                <w:rFonts w:hint="eastAsia" w:ascii="宋体" w:hAnsi="宋体" w:cs="宋体"/>
              </w:rPr>
              <w:t xml:space="preserve">13559</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13763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F32050920230001402</w:t>
            </w:r>
          </w:p>
        </w:tc>
        <w:tc>
          <w:tcPr>
            <w:tcW w:w="1842" w:type="dxa"/>
            <w:vAlign w:val="center"/>
          </w:tcPr>
          <w:p>
            <w:pPr>
              <w:jc w:val="center"/>
            </w:pPr>
            <w:r>
              <w:rPr>
                <w:rFonts w:hint="eastAsia" w:ascii="宋体" w:hAnsi="宋体" w:cs="宋体"/>
              </w:rPr>
              <w:t xml:space="preserve">F32050920230004165</w:t>
            </w:r>
          </w:p>
        </w:tc>
        <w:tc>
          <w:tcPr>
            <w:tcW w:w="1843" w:type="dxa"/>
            <w:vAlign w:val="center"/>
          </w:tcPr>
          <w:p>
            <w:pPr>
              <w:jc w:val="center"/>
            </w:pPr>
            <w:r>
              <w:rPr>
                <w:rFonts w:hint="eastAsia" w:ascii="宋体" w:hAnsi="宋体" w:cs="宋体"/>
              </w:rPr>
              <w:t xml:space="preserve">F32050920230003928</w:t>
            </w:r>
          </w:p>
        </w:tc>
        <w:tc>
          <w:tcPr>
            <w:tcW w:w="1985" w:type="dxa"/>
            <w:vAlign w:val="center"/>
          </w:tcPr>
          <w:p>
            <w:pPr>
              <w:jc w:val="center"/>
            </w:pPr>
            <w:r>
              <w:rPr>
                <w:rFonts w:hint="eastAsia" w:ascii="宋体" w:hAnsi="宋体" w:cs="宋体"/>
              </w:rPr>
              <w:t xml:space="preserve">F32050920230005565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河风印月华庭29幢306</w:t>
            </w:r>
          </w:p>
        </w:tc>
        <w:tc>
          <w:tcPr>
            <w:tcW w:w="1842" w:type="dxa"/>
            <w:vAlign w:val="center"/>
          </w:tcPr>
          <w:p>
            <w:pPr>
              <w:jc w:val="center"/>
            </w:pPr>
            <w:r>
              <w:rPr>
                <w:rFonts w:hint="eastAsia" w:ascii="宋体" w:hAnsi="宋体" w:cs="宋体"/>
              </w:rPr>
              <w:t xml:space="preserve">伟业迎春华府20幢1208</w:t>
            </w:r>
          </w:p>
        </w:tc>
        <w:tc>
          <w:tcPr>
            <w:tcW w:w="1843" w:type="dxa"/>
            <w:vAlign w:val="center"/>
          </w:tcPr>
          <w:p>
            <w:pPr>
              <w:jc w:val="center"/>
            </w:pPr>
            <w:r>
              <w:rPr>
                <w:rFonts w:hint="eastAsia" w:ascii="宋体" w:hAnsi="宋体" w:cs="宋体"/>
              </w:rPr>
              <w:t xml:space="preserve">天城花园40幢1001</w:t>
            </w:r>
          </w:p>
        </w:tc>
        <w:tc>
          <w:tcPr>
            <w:tcW w:w="1985" w:type="dxa"/>
            <w:vAlign w:val="center"/>
          </w:tcPr>
          <w:p>
            <w:pPr>
              <w:jc w:val="center"/>
            </w:pPr>
            <w:r>
              <w:rPr>
                <w:rFonts w:hint="eastAsia" w:ascii="宋体" w:hAnsi="宋体" w:cs="宋体"/>
              </w:rPr>
              <w:t xml:space="preserve">盛誉华庭1幢1204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河风印月华庭29幢306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伟业迎春华府20幢1208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天城花园40幢1001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盛誉华庭1幢1204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pn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