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苏吴地评估字(2023)吴江第00982号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光樾华庭高层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国家注册房地产估价师：谢建鹏</w:t>
      </w:r>
      <w:r>
        <w:rPr>
          <w:rFonts w:hint="eastAsia" w:ascii="宋体" w:hAnsi="宋体"/>
          <w:sz w:val="24"/>
          <w:szCs w:val="24"/>
        </w:rPr>
        <w:t xml:space="preserve">、注册证号：</w:t>
      </w:r>
      <w:r>
        <w:rPr>
          <w:rFonts w:ascii="宋体" w:hAnsi="宋体"/>
          <w:sz w:val="24"/>
          <w:szCs w:val="24"/>
        </w:rPr>
        <w:t xml:space="preserve">1220160011</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2023年11月30日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估价对象位于苏州市吴江区区域范围内的光樾华庭住宅小区高层存量房。该小区内的物业类型包括：</w:t>
      </w:r>
      <w:r>
        <w:rPr>
          <w:rFonts w:ascii="宋体"/>
          <w:sz w:val="24"/>
        </w:rPr>
        <w:t xml:space="preserve">高层、小高层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月修订版），结合估价人员现场查勘，选取光樾华庭</w:t>
      </w:r>
      <w:r>
        <w:rPr>
          <w:rFonts w:ascii="宋体"/>
          <w:sz w:val="24"/>
        </w:rPr>
        <w:t xml:space="preserve">12幢103室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18</w:t>
      </w:r>
      <w:r>
        <w:rPr>
          <w:rFonts w:hint="eastAsia" w:ascii="宋体"/>
          <w:sz w:val="24"/>
        </w:rPr>
        <w:t xml:space="preserve">层，建筑面积</w:t>
      </w:r>
      <w:r>
        <w:rPr>
          <w:rFonts w:ascii="宋体"/>
          <w:sz w:val="24"/>
        </w:rPr>
        <w:t xml:space="preserve">89.74</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2021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2023年11月01日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2023年11月01日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壹万叁仟玖佰贰拾柒元整</w:t>
      </w:r>
      <w:r>
        <w:rPr>
          <w:rFonts w:hint="eastAsia" w:ascii="宋体" w:hAnsi="宋体"/>
          <w:b/>
          <w:bCs/>
          <w:sz w:val="24"/>
        </w:rPr>
        <w:t xml:space="preserve">（RMB</w:t>
      </w:r>
      <w:r>
        <w:rPr>
          <w:rFonts w:ascii="宋体" w:hAnsi="宋体"/>
          <w:b/>
          <w:bCs/>
          <w:sz w:val="24"/>
        </w:rPr>
        <w:t xml:space="preserve"> 13927</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2023年11月30日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5.本报告作为整体使用时有效。若房地产市场无重大波动，本估价报告自出具日起一年内有效，从2023年11月30日至</w:t>
      </w:r>
      <w:r>
        <w:rPr>
          <w:rFonts w:ascii="宋体" w:hAnsi="宋体"/>
          <w:sz w:val="24"/>
        </w:rPr>
        <w:t xml:space="preserve">2024年11月29日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估价对象为光樾华庭</w:t>
      </w:r>
      <w:r>
        <w:rPr>
          <w:rFonts w:ascii="宋体" w:hAnsi="宋体"/>
          <w:sz w:val="24"/>
        </w:rPr>
        <w:t xml:space="preserve">12幢103室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第五人民医院北侧</w:t>
      </w:r>
      <w:r>
        <w:rPr>
          <w:rFonts w:hint="eastAsia" w:hAnsi="宋体"/>
          <w:sz w:val="24"/>
        </w:rPr>
        <w:t xml:space="preserve">的“光樾华庭”住宅区内。</w:t>
      </w:r>
      <w:r>
        <w:rPr>
          <w:rFonts w:hint="eastAsia" w:ascii="宋体" w:hAnsi="宋体"/>
          <w:sz w:val="24"/>
        </w:rPr>
        <w:t xml:space="preserve">估价对象东至</w:t>
      </w:r>
      <w:r>
        <w:rPr>
          <w:rFonts w:ascii="宋体" w:hAnsi="宋体"/>
          <w:sz w:val="24"/>
          <w:szCs w:val="24"/>
        </w:rPr>
        <w:t xml:space="preserve">新友路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第五人民医院</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常嘉高速</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越秀路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89.74</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第五人民医院北侧</w:t>
      </w:r>
      <w:r>
        <w:rPr>
          <w:rFonts w:hint="eastAsia" w:hAnsi="宋体"/>
          <w:sz w:val="24"/>
        </w:rPr>
        <w:t xml:space="preserve">的“光樾华庭”住宅区内。该小区内的物业类型包括：</w:t>
      </w:r>
      <w:r>
        <w:rPr>
          <w:rFonts w:hAnsi="宋体"/>
          <w:sz w:val="24"/>
        </w:rPr>
        <w:t xml:space="preserve">高层、小高层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光樾华庭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“光樾华庭”小区</w:t>
            </w:r>
            <w:r>
              <w:rPr>
                <w:rFonts w:ascii="Cambria" w:hAnsi="宋体" w:eastAsia="黑体" w:cs="Times New Roman" w:asciiTheme="majorHAnsi" w:cstheme="majorBidi"/>
                <w:sz w:val="15"/>
                <w:szCs w:val="15"/>
              </w:rPr>
              <w:t xml:space="preserve">12幢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由于光樾华庭市场交易不活跃，片区内可选案例较少，因此选择的案例A，B，C，D，距离在3公里以外。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光樾华庭住宅2023年11月挂牌均价17217元/平方米，较年初持平。待评估二手房住宅近11个月（2023年01月-2023年11月）挂牌均价波动幅度较小，价格维持在15265-17217元/平方米之间。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均价说明：光樾华庭小区物业类型包括：高层、小高层,房源均价为:17217元/平方米，包含毛坯价值以及附带装修价值。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该房屋为18层住宅楼的第1层，建于2021年，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89.74</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2023年11月01日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壹万叁仟玖佰贰拾柒元整</w:t>
      </w:r>
      <w:r>
        <w:rPr>
          <w:rFonts w:hint="eastAsia" w:ascii="宋体" w:hAnsi="宋体"/>
          <w:b/>
          <w:bCs/>
          <w:sz w:val="24"/>
        </w:rPr>
        <w:t xml:space="preserve">（RMB </w:t>
      </w:r>
      <w:r>
        <w:rPr>
          <w:rFonts w:ascii="宋体" w:hAnsi="宋体"/>
          <w:b/>
          <w:bCs/>
          <w:sz w:val="24"/>
        </w:rPr>
        <w:t xml:space="preserve">13927</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124.98</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13927</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本次实地查勘期为2023年11月01日，并于当日完成现场查勘。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2023年11月01日</w:t>
      </w:r>
      <w:r>
        <w:rPr>
          <w:rFonts w:hint="eastAsia" w:ascii="宋体"/>
          <w:sz w:val="24"/>
        </w:rPr>
        <w:t xml:space="preserve">至2023年11月30日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估价对象为苏州市吴江区“光樾华庭”住宅区内的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新友路西侧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新友路西侧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附近有7310路内环、7316路、7335路、7336路等多条公交线路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吴江联华(新友花苑店)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新友农贸市场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汾湖蓝天幼儿园</w:t>
      </w:r>
      <w:r>
        <w:rPr>
          <w:rFonts w:hint="eastAsia" w:ascii="宋体" w:hAnsi="宋体" w:eastAsia="宋体" w:asciiTheme="minorEastAsia" w:hAnsiTheme="minorEastAsia" w:eastAsiaTheme="minorEastAsia"/>
          <w:sz w:val="24"/>
        </w:rPr>
        <w:t xml:space="preserve">、</w:t>
      </w:r>
      <w:r>
        <w:rPr>
          <w:rFonts w:hAnsi="宋体"/>
          <w:sz w:val="24"/>
        </w:rPr>
        <w:t xml:space="preserve">芦墟实验小学</w:t>
      </w:r>
      <w:r>
        <w:rPr>
          <w:rFonts w:hint="eastAsia" w:hAnsi="宋体"/>
          <w:sz w:val="24"/>
        </w:rPr>
        <w:t xml:space="preserve">、</w:t>
      </w:r>
      <w:r>
        <w:rPr>
          <w:rFonts w:hAnsi="宋体"/>
          <w:sz w:val="24"/>
        </w:rPr>
        <w:t xml:space="preserve">芦墟初级中学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新友路</w:t>
      </w:r>
      <w:r>
        <w:rPr>
          <w:rFonts w:hint="eastAsia" w:ascii="宋体" w:hAnsi="宋体"/>
          <w:sz w:val="24"/>
        </w:rPr>
        <w:t xml:space="preserve">，南至</w:t>
      </w:r>
      <w:r>
        <w:rPr>
          <w:rFonts w:ascii="宋体" w:hAnsi="宋体"/>
          <w:sz w:val="24"/>
        </w:rPr>
        <w:t xml:space="preserve">第五人民医院</w:t>
      </w:r>
      <w:r>
        <w:rPr>
          <w:rFonts w:hint="eastAsia" w:ascii="宋体" w:hAnsi="宋体"/>
          <w:sz w:val="24"/>
        </w:rPr>
        <w:t xml:space="preserve">，西至</w:t>
      </w:r>
      <w:r>
        <w:rPr>
          <w:rFonts w:ascii="宋体" w:hAnsi="宋体"/>
          <w:sz w:val="24"/>
        </w:rPr>
        <w:t xml:space="preserve">常嘉高速</w:t>
      </w:r>
      <w:r>
        <w:rPr>
          <w:rFonts w:hint="eastAsia" w:ascii="宋体" w:hAnsi="宋体"/>
          <w:sz w:val="24"/>
        </w:rPr>
        <w:t xml:space="preserve">，北至</w:t>
      </w:r>
      <w:r>
        <w:rPr>
          <w:rFonts w:ascii="宋体" w:hAnsi="宋体"/>
          <w:sz w:val="24"/>
        </w:rPr>
        <w:t xml:space="preserve">越秀路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估价对象为坐落于苏州市吴江区光樾华庭</w:t>
      </w:r>
      <w:r>
        <w:t xml:space="preserve"> </w:t>
      </w:r>
      <w:r>
        <w:rPr>
          <w:rFonts w:ascii="宋体" w:hAnsi="宋体"/>
          <w:kern w:val="2"/>
          <w:sz w:val="24"/>
        </w:rPr>
        <w:t xml:space="preserve">12幢103室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89.74</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3层数、层高：估价对象位于总楼层为18层的第1层，层高约2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估价对象建成于2021年，基础较为稳固，未见沉降；墙面、地面、门窗等保养完好，综合保养成新度为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光樾华庭住宅2023年11月挂牌均价17217元/平方米，较年初持平。待评估二手房住宅近11个月（2023年01月-2023年11月）挂牌均价波动幅度较小，价格维持在15265-17217元/平方米之间。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7"/>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苏州市吴江区光樾华庭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F32050920230003928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F32050920230005571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F32050920230002803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F32050920230008144</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吴江区黎里镇光樾华庭12幢103室高层住宅标准房基准价格评估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天城花园40幢1001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太湖鼎城6幢602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璀璨绿翠花园16幢704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金色摩纺丝绸广场18幢616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89.74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119.37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34.11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2023年11月01日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13952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13739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13779</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指数，吴江区2022年11月至2023年10月住宅月度价格指数表为：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2023年10月01日</w:t>
            </w:r>
          </w:p>
        </w:tc>
        <w:tc>
          <w:tcPr>
            <w:tcW w:w="778"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13952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13811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13739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13779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2046</w:t>
            </w:r>
          </w:p>
        </w:tc>
        <w:tc>
          <w:tcPr>
            <w:tcW w:w="778"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1.044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备注：在价值时点2023年11月01日</w:t>
      </w:r>
      <w:r>
        <w:rPr>
          <w:rFonts w:hint="eastAsia" w:ascii="宋体" w:hAnsi="宋体" w:cs="宋体"/>
          <w:sz w:val="24"/>
          <w:szCs w:val="24"/>
        </w:rPr>
        <w:t xml:space="preserve">，2023年11月份价格指数尚未公布，本次估价采用2023年10月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1"/>
            <o:lock v:ext="edit" aspectratio="t"/>
            <w10:anchorlock/>
          </v:shape>
          <o:OLEObject Type="Embed" ProgID="Equation.3" ShapeID="_x0000_i0003" DrawAspect="Content" ObjectID="_1800834903"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吴江区黎里镇光樾华庭12幢103室高层住宅标准房基准价格评估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天城花园40幢1001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太湖鼎城6幢602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璀璨绿翠花园16幢704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金色摩纺丝绸广场18幢616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89.74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94.13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119.37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34.11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109.57</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0.125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13811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13739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13779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14041</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13952</w:t>
            </w:r>
          </w:p>
        </w:tc>
        <w:tc>
          <w:tcPr>
            <w:tcW w:w="922" w:type="pct"/>
            <w:shd w:val="clear" w:color="auto" w:fill="auto"/>
            <w:vAlign w:val="center"/>
          </w:tcPr>
          <w:p>
            <w:pPr>
              <w:jc w:val="center"/>
              <w:rPr>
                <w:rFonts w:ascii="宋体" w:hAnsi="宋体" w:cs="宋体"/>
              </w:rPr>
            </w:pPr>
            <w:r>
              <w:rPr>
                <w:rFonts w:hint="eastAsia" w:ascii="宋体" w:hAnsi="宋体" w:cs="宋体"/>
              </w:rPr>
              <w:t xml:space="preserve">13811</w:t>
            </w:r>
          </w:p>
        </w:tc>
        <w:tc>
          <w:tcPr>
            <w:tcW w:w="922" w:type="pct"/>
            <w:shd w:val="clear" w:color="auto" w:fill="auto"/>
            <w:vAlign w:val="center"/>
          </w:tcPr>
          <w:p>
            <w:pPr>
              <w:jc w:val="center"/>
              <w:rPr>
                <w:rFonts w:ascii="宋体" w:hAnsi="宋体" w:cs="宋体"/>
              </w:rPr>
            </w:pPr>
            <w:r>
              <w:rPr>
                <w:rFonts w:hint="eastAsia" w:ascii="宋体" w:hAnsi="宋体" w:cs="宋体"/>
              </w:rPr>
              <w:t xml:space="preserve">13739</w:t>
            </w:r>
          </w:p>
        </w:tc>
        <w:tc>
          <w:tcPr>
            <w:tcW w:w="922" w:type="pct"/>
            <w:shd w:val="clear" w:color="auto" w:fill="auto"/>
            <w:vAlign w:val="center"/>
          </w:tcPr>
          <w:p>
            <w:pPr>
              <w:jc w:val="center"/>
              <w:rPr>
                <w:rFonts w:ascii="宋体" w:hAnsi="宋体" w:cs="宋体"/>
              </w:rPr>
            </w:pPr>
            <w:r>
              <w:rPr>
                <w:rFonts w:hint="eastAsia" w:ascii="宋体" w:hAnsi="宋体" w:cs="宋体"/>
              </w:rPr>
              <w:t xml:space="preserve">13779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109.08/112.85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109.08/109.57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100.5/98</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1.0349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w:t>
            </w:r>
          </w:p>
        </w:tc>
        <w:tc>
          <w:tcPr>
            <w:tcW w:w="922" w:type="pct"/>
            <w:shd w:val="clear" w:color="auto" w:fill="auto"/>
            <w:vAlign w:val="center"/>
          </w:tcPr>
          <w:p>
            <w:pPr>
              <w:jc w:val="center"/>
              <w:rPr>
                <w:rFonts w:ascii="宋体" w:hAnsi="宋体" w:cs="宋体"/>
              </w:rPr>
            </w:pPr>
            <w:r>
              <w:rPr>
                <w:rFonts w:hint="eastAsia" w:ascii="宋体" w:hAnsi="宋体" w:cs="宋体"/>
              </w:rPr>
              <w:t xml:space="preserve">0.9939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14439</w:t>
            </w:r>
          </w:p>
        </w:tc>
        <w:tc>
          <w:tcPr>
            <w:tcW w:w="922" w:type="pct"/>
            <w:shd w:val="clear" w:color="auto" w:fill="auto"/>
            <w:vAlign w:val="center"/>
          </w:tcPr>
          <w:p>
            <w:pPr>
              <w:jc w:val="center"/>
              <w:rPr>
                <w:rFonts w:ascii="宋体" w:hAnsi="宋体" w:cs="宋体"/>
              </w:rPr>
            </w:pPr>
            <w:r>
              <w:rPr>
                <w:rFonts w:hint="eastAsia" w:ascii="宋体" w:hAnsi="宋体" w:cs="宋体"/>
              </w:rPr>
              <w:t xml:space="preserve">14073</w:t>
            </w:r>
          </w:p>
        </w:tc>
        <w:tc>
          <w:tcPr>
            <w:tcW w:w="922" w:type="pct"/>
            <w:shd w:val="clear" w:color="auto" w:fill="auto"/>
            <w:vAlign w:val="center"/>
          </w:tcPr>
          <w:p>
            <w:pPr>
              <w:jc w:val="center"/>
              <w:rPr>
                <w:rFonts w:ascii="宋体" w:hAnsi="宋体" w:cs="宋体"/>
              </w:rPr>
            </w:pPr>
            <w:r>
              <w:rPr>
                <w:rFonts w:hint="eastAsia" w:ascii="宋体" w:hAnsi="宋体" w:cs="宋体"/>
              </w:rPr>
              <w:t xml:space="preserve">13655</w:t>
            </w:r>
          </w:p>
        </w:tc>
        <w:tc>
          <w:tcPr>
            <w:tcW w:w="922" w:type="pct"/>
            <w:shd w:val="clear" w:color="auto" w:fill="auto"/>
            <w:vAlign w:val="center"/>
          </w:tcPr>
          <w:p>
            <w:pPr>
              <w:jc w:val="center"/>
              <w:rPr>
                <w:rFonts w:ascii="宋体" w:hAnsi="宋体" w:cs="宋体"/>
              </w:rPr>
            </w:pPr>
            <w:r>
              <w:rPr>
                <w:rFonts w:hint="eastAsia" w:ascii="宋体" w:hAnsi="宋体" w:cs="宋体"/>
              </w:rPr>
              <w:t xml:space="preserve">14041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400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14339</w:t>
            </w:r>
          </w:p>
        </w:tc>
        <w:tc>
          <w:tcPr>
            <w:tcW w:w="922" w:type="pct"/>
            <w:shd w:val="clear" w:color="auto" w:fill="auto"/>
            <w:vAlign w:val="center"/>
          </w:tcPr>
          <w:p>
            <w:pPr>
              <w:jc w:val="center"/>
              <w:rPr>
                <w:rFonts w:ascii="宋体" w:hAnsi="宋体" w:cs="宋体"/>
              </w:rPr>
            </w:pPr>
            <w:r>
              <w:rPr>
                <w:rFonts w:hint="eastAsia" w:ascii="宋体" w:hAnsi="宋体" w:cs="宋体"/>
              </w:rPr>
              <w:t xml:space="preserve">14073</w:t>
            </w:r>
          </w:p>
        </w:tc>
        <w:tc>
          <w:tcPr>
            <w:tcW w:w="922" w:type="pct"/>
            <w:shd w:val="clear" w:color="auto" w:fill="auto"/>
            <w:vAlign w:val="center"/>
          </w:tcPr>
          <w:p>
            <w:pPr>
              <w:jc w:val="center"/>
              <w:rPr>
                <w:rFonts w:ascii="宋体" w:hAnsi="宋体" w:cs="宋体"/>
              </w:rPr>
            </w:pPr>
            <w:r>
              <w:rPr>
                <w:rFonts w:hint="eastAsia" w:ascii="宋体" w:hAnsi="宋体" w:cs="宋体"/>
              </w:rPr>
              <w:t xml:space="preserve">13255</w:t>
            </w:r>
          </w:p>
        </w:tc>
        <w:tc>
          <w:tcPr>
            <w:tcW w:w="922" w:type="pct"/>
            <w:shd w:val="clear" w:color="auto" w:fill="auto"/>
            <w:vAlign w:val="center"/>
          </w:tcPr>
          <w:p>
            <w:pPr>
              <w:jc w:val="center"/>
              <w:rPr>
                <w:rFonts w:ascii="宋体" w:hAnsi="宋体" w:cs="宋体"/>
              </w:rPr>
            </w:pPr>
            <w:r>
              <w:rPr>
                <w:rFonts w:hint="eastAsia" w:ascii="宋体" w:hAnsi="宋体" w:cs="宋体"/>
              </w:rPr>
              <w:t xml:space="preserve">14041</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13927</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F32050920230003928</w:t>
            </w:r>
          </w:p>
        </w:tc>
        <w:tc>
          <w:tcPr>
            <w:tcW w:w="1842" w:type="dxa"/>
            <w:vAlign w:val="center"/>
          </w:tcPr>
          <w:p>
            <w:pPr>
              <w:jc w:val="center"/>
            </w:pPr>
            <w:r>
              <w:rPr>
                <w:rFonts w:hint="eastAsia" w:ascii="宋体" w:hAnsi="宋体" w:cs="宋体"/>
              </w:rPr>
              <w:t xml:space="preserve">F32050920230005571</w:t>
            </w:r>
          </w:p>
        </w:tc>
        <w:tc>
          <w:tcPr>
            <w:tcW w:w="1843" w:type="dxa"/>
            <w:vAlign w:val="center"/>
          </w:tcPr>
          <w:p>
            <w:pPr>
              <w:jc w:val="center"/>
            </w:pPr>
            <w:r>
              <w:rPr>
                <w:rFonts w:hint="eastAsia" w:ascii="宋体" w:hAnsi="宋体" w:cs="宋体"/>
              </w:rPr>
              <w:t xml:space="preserve">F32050920230002803</w:t>
            </w:r>
          </w:p>
        </w:tc>
        <w:tc>
          <w:tcPr>
            <w:tcW w:w="1985" w:type="dxa"/>
            <w:vAlign w:val="center"/>
          </w:tcPr>
          <w:p>
            <w:pPr>
              <w:jc w:val="center"/>
            </w:pPr>
            <w:r>
              <w:rPr>
                <w:rFonts w:hint="eastAsia" w:ascii="宋体" w:hAnsi="宋体" w:cs="宋体"/>
              </w:rPr>
              <w:t xml:space="preserve">F32050920230008144</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天城花园40幢1001</w:t>
            </w:r>
          </w:p>
        </w:tc>
        <w:tc>
          <w:tcPr>
            <w:tcW w:w="1842" w:type="dxa"/>
            <w:vAlign w:val="center"/>
          </w:tcPr>
          <w:p>
            <w:pPr>
              <w:jc w:val="center"/>
            </w:pPr>
            <w:r>
              <w:rPr>
                <w:rFonts w:hint="eastAsia" w:ascii="宋体" w:hAnsi="宋体" w:cs="宋体"/>
              </w:rPr>
              <w:t xml:space="preserve">太湖鼎城6幢602</w:t>
            </w:r>
          </w:p>
        </w:tc>
        <w:tc>
          <w:tcPr>
            <w:tcW w:w="1843" w:type="dxa"/>
            <w:vAlign w:val="center"/>
          </w:tcPr>
          <w:p>
            <w:pPr>
              <w:jc w:val="center"/>
            </w:pPr>
            <w:r>
              <w:rPr>
                <w:rFonts w:hint="eastAsia" w:ascii="宋体" w:hAnsi="宋体" w:cs="宋体"/>
              </w:rPr>
              <w:t xml:space="preserve">璀璨绿翠花园16幢704</w:t>
            </w:r>
          </w:p>
        </w:tc>
        <w:tc>
          <w:tcPr>
            <w:tcW w:w="1985" w:type="dxa"/>
            <w:vAlign w:val="center"/>
          </w:tcPr>
          <w:p>
            <w:pPr>
              <w:jc w:val="center"/>
            </w:pPr>
            <w:r>
              <w:rPr>
                <w:rFonts w:hint="eastAsia" w:ascii="宋体" w:hAnsi="宋体" w:cs="宋体"/>
              </w:rPr>
              <w:t xml:space="preserve">金色摩纺丝绸广场18幢616</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天城花园40幢1001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太湖鼎城6幢602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璀璨绿翠花园16幢704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金色摩纺丝绸广场18幢616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pn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