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苏吴地评税字(2023)吴江第00342号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苏州市吴江区黎里镇</w:t>
      </w:r>
      <w:r>
        <w:rPr>
          <w:rFonts w:ascii="宋体" w:hAnsi="宋体" w:eastAsia="宋体" w:asciiTheme="minorEastAsia" w:hAnsiTheme="minorEastAsia" w:eastAsiaTheme="minorEastAsia"/>
          <w:sz w:val="24"/>
          <w:szCs w:val="24"/>
        </w:rPr>
        <w:t xml:space="preserve">明丰翠湖苑</w:t>
      </w:r>
      <w:r>
        <w:rPr>
          <w:rFonts w:ascii="宋体" w:hAnsi="宋体" w:eastAsia="宋体" w:asciiTheme="minorEastAsia" w:hAnsiTheme="minorEastAsia" w:eastAsiaTheme="minorEastAsia"/>
          <w:sz w:val="24"/>
          <w:szCs w:val="24"/>
        </w:rPr>
        <w:t xml:space="preserve">独栋</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2023年09月20日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估价对象位于苏州市吴江区区域范围内的明丰翠湖苑</w:t>
      </w:r>
      <w:r>
        <w:rPr>
          <w:rFonts w:hint="eastAsia" w:ascii="宋体"/>
          <w:sz w:val="24"/>
        </w:rPr>
        <w:t xml:space="preserve">住宅小区独栋存量房。该小区内的物业类型包括：</w:t>
      </w:r>
      <w:r>
        <w:rPr>
          <w:rFonts w:ascii="宋体"/>
          <w:sz w:val="24"/>
        </w:rPr>
        <w:t xml:space="preserve">普通多层、联排、独栋</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月修订版），结合估价人员现场查勘，选取明丰翠湖苑</w:t>
      </w:r>
      <w:r>
        <w:rPr>
          <w:rFonts w:ascii="宋体"/>
          <w:sz w:val="24"/>
        </w:rPr>
        <w:t xml:space="preserve">V6幢</w:t>
      </w:r>
      <w:r>
        <w:rPr>
          <w:rFonts w:hint="eastAsia" w:ascii="宋体"/>
          <w:sz w:val="24"/>
        </w:rPr>
        <w:t xml:space="preserve">为该小区</w:t>
      </w:r>
      <w:r>
        <w:rPr>
          <w:rFonts w:ascii="宋体"/>
          <w:sz w:val="24"/>
        </w:rPr>
        <w:t xml:space="preserve">砖混结构</w:t>
      </w:r>
      <w:r>
        <w:rPr>
          <w:rFonts w:hint="eastAsia" w:ascii="宋体"/>
          <w:sz w:val="24"/>
        </w:rPr>
        <w:t xml:space="preserve">独栋的标准样本房，所在楼层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354.91</w:t>
      </w:r>
      <w:r>
        <w:rPr>
          <w:rFonts w:hint="eastAsia" w:ascii="宋体"/>
          <w:sz w:val="24"/>
        </w:rPr>
        <w:t xml:space="preserve">平方米，南北朝向，</w:t>
      </w:r>
      <w:r>
        <w:rPr>
          <w:rFonts w:ascii="宋体"/>
          <w:sz w:val="24"/>
        </w:rPr>
        <w:t xml:space="preserve">，砖混结构</w:t>
      </w:r>
      <w:r>
        <w:rPr>
          <w:rFonts w:hint="eastAsia" w:ascii="宋体"/>
          <w:sz w:val="24"/>
        </w:rPr>
        <w:t xml:space="preserve">，设计用途为成套住宅，建成于</w:t>
      </w:r>
      <w:r>
        <w:rPr>
          <w:rFonts w:ascii="宋体"/>
          <w:sz w:val="24"/>
        </w:rPr>
        <w:t xml:space="preserve">2005</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2063年11月05日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2023年08月08日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2023年08月08日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壹万肆仟壹佰壹拾捌元整</w:t>
      </w:r>
      <w:r>
        <w:rPr>
          <w:rFonts w:hint="eastAsia" w:ascii="宋体" w:hAnsi="宋体"/>
          <w:b/>
          <w:bCs/>
          <w:sz w:val="24"/>
        </w:rPr>
        <w:t xml:space="preserve">（RMB</w:t>
      </w:r>
      <w:r>
        <w:rPr>
          <w:rFonts w:ascii="宋体" w:hAnsi="宋体"/>
          <w:b/>
          <w:bCs/>
          <w:sz w:val="24"/>
        </w:rPr>
        <w:t xml:space="preserve"> 14118</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2023年09月20日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2023年09月20日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2023年09月20日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2023年09月20日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5.本报告作为整体使用时有效。若房地产市场无重大波动，本估价报告自出具日起一年内有效，从2023年09月20日</w:t>
      </w:r>
      <w:r>
        <w:rPr>
          <w:rFonts w:hint="eastAsia" w:ascii="宋体" w:hAnsi="宋体"/>
          <w:sz w:val="24"/>
        </w:rPr>
        <w:t xml:space="preserve">至</w:t>
      </w:r>
      <w:r>
        <w:rPr>
          <w:rFonts w:ascii="宋体" w:hAnsi="宋体"/>
          <w:sz w:val="24"/>
        </w:rPr>
        <w:t xml:space="preserve">2024年09月19日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明丰翠湖苑</w:t>
      </w:r>
      <w:r>
        <w:rPr>
          <w:rFonts w:ascii="宋体" w:hAnsi="宋体"/>
          <w:sz w:val="24"/>
        </w:rPr>
        <w:t xml:space="preserve">V6幢</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湖泊西侧</w:t>
      </w:r>
      <w:r>
        <w:rPr>
          <w:rFonts w:hint="eastAsia" w:hAnsi="宋体"/>
          <w:sz w:val="24"/>
        </w:rPr>
        <w:t xml:space="preserve">的“</w:t>
      </w:r>
      <w:r>
        <w:rPr>
          <w:rFonts w:hint="eastAsia" w:hAnsi="宋体"/>
          <w:sz w:val="24"/>
        </w:rPr>
        <w:t xml:space="preserve">明丰翠湖苑</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湖泊</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浦港南路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浦港南路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双湖花园</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354.91</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湖泊西侧</w:t>
      </w:r>
      <w:r>
        <w:rPr>
          <w:rFonts w:hint="eastAsia" w:hAnsi="宋体"/>
          <w:sz w:val="24"/>
        </w:rPr>
        <w:t xml:space="preserve">的“明丰翠湖苑</w:t>
      </w:r>
      <w:r>
        <w:rPr>
          <w:rFonts w:hint="eastAsia" w:hAnsi="宋体"/>
          <w:sz w:val="24"/>
        </w:rPr>
        <w:t xml:space="preserve">”住宅区内。该小区内的物业类型包括：</w:t>
      </w:r>
      <w:r>
        <w:rPr>
          <w:rFonts w:hAnsi="宋体"/>
          <w:sz w:val="24"/>
        </w:rPr>
        <w:t xml:space="preserve">普通多层、联排、独栋</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明丰翠湖苑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明丰翠湖苑</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V6幢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由于明丰翠湖苑幢数较少且大多为别墅，市场交易不活跃，片区内可选案例较少，因此选择的案例A，C，D，距离在3公里以外。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明丰翠湖苑住宅2023年8月挂牌均价15144元/平方米，较年初持平。待评估二手房住宅近8个月（2023年01月-2023年08月）挂牌均价波动幅度较小，价格维持在15144元/平方米左右。</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均价说明：明丰翠湖苑小区物业类型包括：普通多层、联排、独栋,房源均价为:15144元/平方米，包含毛坯价值以及附带装修价值。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w:t>
      </w:r>
      <w:r>
        <w:rPr>
          <w:rFonts w:hint="eastAsia" w:ascii="宋体" w:hAnsi="宋体"/>
          <w:sz w:val="24"/>
        </w:rPr>
        <w:t xml:space="preserve">层住宅楼的第1-3层，建于2005年，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354.91</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2063年11月05日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2023年08月08日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w:t>
      </w:r>
      <w:r>
        <w:rPr>
          <w:rFonts w:hint="eastAsia"/>
          <w:i/>
          <w:sz w:val="24"/>
          <w:szCs w:val="24"/>
          <w:vertAlign w:val="subscript"/>
        </w:rPr>
        <w:t xml:space="preserve">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w:t>
      </w:r>
      <w:r>
        <w:rPr>
          <w:sz w:val="24"/>
          <w:szCs w:val="24"/>
        </w:rPr>
        <w:t xml:space="preserve">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壹万肆仟壹佰壹拾捌元整</w:t>
      </w:r>
      <w:r>
        <w:rPr>
          <w:rFonts w:hint="eastAsia" w:ascii="宋体" w:hAnsi="宋体"/>
          <w:b/>
          <w:bCs/>
          <w:sz w:val="24"/>
        </w:rPr>
        <w:t xml:space="preserve">（RMB </w:t>
      </w:r>
      <w:r>
        <w:rPr>
          <w:rFonts w:ascii="宋体" w:hAnsi="宋体"/>
          <w:b/>
          <w:bCs/>
          <w:sz w:val="24"/>
        </w:rPr>
        <w:t xml:space="preserve">14118</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501.05</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14118</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2023年09月20日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2023年09月20日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本次实地查勘期为2023年08月08日，并于当日完成现场查勘。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2023年08月08日</w:t>
      </w:r>
      <w:r>
        <w:rPr>
          <w:rFonts w:hint="eastAsia" w:ascii="宋体"/>
          <w:sz w:val="24"/>
        </w:rPr>
        <w:t xml:space="preserve">至2023年09月20日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明丰翠湖苑</w:t>
      </w:r>
      <w:r>
        <w:rPr>
          <w:rFonts w:hint="eastAsia" w:hAnsi="宋体"/>
          <w:sz w:val="24"/>
        </w:rPr>
        <w:t xml:space="preserve">”住宅区内的</w:t>
      </w:r>
      <w:r>
        <w:rPr>
          <w:rFonts w:hAnsi="宋体"/>
          <w:sz w:val="24"/>
        </w:rPr>
        <w:t xml:space="preserve">独栋</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浦港南路东侧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浦港南路东侧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附近有7307路、7318路、7336路等多条公交线路</w:t>
      </w:r>
      <w:r>
        <w:rPr>
          <w:rFonts w:hint="eastAsia" w:hAnsi="宋体"/>
          <w:sz w:val="24"/>
        </w:rPr>
        <w:t xml:space="preserve">，</w:t>
      </w:r>
      <w:r>
        <w:rPr>
          <w:rFonts w:hAnsi="宋体"/>
          <w:sz w:val="24"/>
        </w:rPr>
        <w:t xml:space="preserve">至公交站点的距离约为50米，公交班次平均隔10分钟有一辆汽车通过。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联华超市(莘塔大街)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中国农业银行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莘塔大街农贸市场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莘塔中心幼儿园</w:t>
      </w:r>
      <w:r>
        <w:rPr>
          <w:rFonts w:hint="eastAsia" w:ascii="宋体" w:hAnsi="宋体" w:eastAsia="宋体" w:asciiTheme="minorEastAsia" w:hAnsiTheme="minorEastAsia" w:eastAsiaTheme="minorEastAsia"/>
          <w:sz w:val="24"/>
        </w:rPr>
        <w:t xml:space="preserve">、</w:t>
      </w:r>
      <w:r>
        <w:rPr>
          <w:rFonts w:hAnsi="宋体"/>
          <w:sz w:val="24"/>
        </w:rPr>
        <w:t xml:space="preserve">莘塔小学</w:t>
      </w:r>
      <w:r>
        <w:rPr>
          <w:rFonts w:hint="eastAsia" w:hAnsi="宋体"/>
          <w:sz w:val="24"/>
        </w:rPr>
        <w:t xml:space="preserve">、</w:t>
      </w:r>
      <w:r>
        <w:rPr>
          <w:rFonts w:hAnsi="宋体"/>
          <w:sz w:val="24"/>
        </w:rPr>
        <w:t xml:space="preserve">莘塔中学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2063年11月05日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湖泊</w:t>
      </w:r>
      <w:r>
        <w:rPr>
          <w:rFonts w:hint="eastAsia" w:ascii="宋体" w:hAnsi="宋体"/>
          <w:sz w:val="24"/>
        </w:rPr>
        <w:t xml:space="preserve">，南至</w:t>
      </w:r>
      <w:r>
        <w:rPr>
          <w:rFonts w:ascii="宋体" w:hAnsi="宋体"/>
          <w:sz w:val="24"/>
        </w:rPr>
        <w:t xml:space="preserve">浦港南路</w:t>
      </w:r>
      <w:r>
        <w:rPr>
          <w:rFonts w:hint="eastAsia" w:ascii="宋体" w:hAnsi="宋体"/>
          <w:sz w:val="24"/>
        </w:rPr>
        <w:t xml:space="preserve">，西至</w:t>
      </w:r>
      <w:r>
        <w:rPr>
          <w:rFonts w:ascii="宋体" w:hAnsi="宋体"/>
          <w:sz w:val="24"/>
        </w:rPr>
        <w:t xml:space="preserve">浦港南路</w:t>
      </w:r>
      <w:r>
        <w:rPr>
          <w:rFonts w:hint="eastAsia" w:ascii="宋体" w:hAnsi="宋体"/>
          <w:sz w:val="24"/>
        </w:rPr>
        <w:t xml:space="preserve">，北至</w:t>
      </w:r>
      <w:r>
        <w:rPr>
          <w:rFonts w:ascii="宋体" w:hAnsi="宋体"/>
          <w:sz w:val="24"/>
        </w:rPr>
        <w:t xml:space="preserve">双湖花园</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w:t>
      </w:r>
      <w:r>
        <w:rPr>
          <w:rFonts w:hint="eastAsia" w:ascii="宋体" w:hAnsi="宋体" w:eastAsia="宋体" w:asciiTheme="minorEastAsia" w:hAnsiTheme="minorEastAsia" w:eastAsiaTheme="minorEastAsia"/>
          <w:sz w:val="24"/>
        </w:rPr>
        <w:t xml:space="preserve">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估价对象为坐落于苏州市吴江区明丰翠湖苑</w:t>
      </w:r>
      <w:r>
        <w:t xml:space="preserve"> </w:t>
      </w:r>
      <w:r>
        <w:rPr>
          <w:rFonts w:ascii="宋体" w:hAnsi="宋体"/>
          <w:kern w:val="2"/>
          <w:sz w:val="24"/>
        </w:rPr>
        <w:t xml:space="preserve">V6幢</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独栋</w:t>
      </w:r>
      <w:r>
        <w:rPr>
          <w:rFonts w:hint="eastAsia" w:hAnsi="宋体"/>
          <w:sz w:val="24"/>
        </w:rPr>
        <w:t xml:space="preserve">建筑，建筑面积为</w:t>
      </w:r>
      <w:r>
        <w:rPr>
          <w:rFonts w:hAnsi="宋体"/>
          <w:sz w:val="24"/>
        </w:rPr>
        <w:t xml:space="preserve">354.91</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3</w:t>
      </w:r>
      <w:r>
        <w:rPr>
          <w:rFonts w:hint="eastAsia" w:hAnsi="宋体"/>
          <w:sz w:val="24"/>
        </w:rPr>
        <w:t xml:space="preserve">层的第</w:t>
      </w:r>
      <w:r>
        <w:rPr>
          <w:rFonts w:hint="eastAsia" w:hAnsi="宋体"/>
          <w:sz w:val="24"/>
        </w:rPr>
        <w:t xml:space="preserve">1-3</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六室三厅四卫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2005</w:t>
      </w:r>
      <w:r>
        <w:rPr>
          <w:rFonts w:hint="eastAsia" w:hAnsi="宋体"/>
          <w:sz w:val="24"/>
        </w:rPr>
        <w:t xml:space="preserve">年，基础较为稳固，未见沉降；墙面、地面、门</w:t>
      </w:r>
      <w:r>
        <w:rPr>
          <w:rFonts w:hint="eastAsia" w:hAnsi="宋体"/>
          <w:sz w:val="24"/>
        </w:rPr>
        <w:t xml:space="preserve">窗等保养完好，综合保养成新度为</w:t>
      </w:r>
      <w:r>
        <w:rPr>
          <w:rFonts w:hAnsi="宋体"/>
          <w:sz w:val="24"/>
        </w:rPr>
        <w:t xml:space="preserve">七五成新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w:t>
      </w:r>
      <w:r>
        <w:rPr>
          <w:rFonts w:ascii="Times New Roman" w:hAnsi="Times New Roman" w:eastAsia="仿宋_GB2312"/>
          <w:b/>
          <w:bCs/>
          <w:sz w:val="28"/>
          <w:szCs w:val="28"/>
        </w:rPr>
        <w:t xml:space="preserve">1 </w:t>
      </w:r>
      <w:r>
        <w:rPr>
          <w:rFonts w:ascii="Times New Roman" w:hAnsi="Times New Roman" w:eastAsia="仿宋_GB2312"/>
          <w:b/>
          <w:bCs/>
          <w:sz w:val="28"/>
          <w:szCs w:val="28"/>
        </w:rPr>
        <w:t xml:space="preserve">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2953"/>
        <w:gridCol w:w="1210"/>
        <w:gridCol w:w="1077"/>
        <w:gridCol w:w="1077"/>
        <w:gridCol w:w="1077"/>
        <w:gridCol w:w="1128"/>
      </w:tblGrid>
      <w:tr>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2019</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2020</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2021</w:t>
            </w:r>
            <w:r>
              <w:rPr>
                <w:b/>
                <w:bCs/>
                <w:sz w:val="21"/>
                <w:szCs w:val="21"/>
              </w:rPr>
              <w:t xml:space="preserve">年</w:t>
            </w:r>
          </w:p>
        </w:tc>
        <w:tc>
          <w:tcPr>
            <w:tcW w:w="662" w:type="pct"/>
            <w:vAlign w:val="center"/>
          </w:tcPr>
          <w:p>
            <w:pPr>
              <w:spacing w:line="240" w:lineRule="atLeast"/>
              <w:jc w:val="center"/>
              <w:rPr>
                <w:b/>
                <w:bCs/>
                <w:sz w:val="21"/>
                <w:szCs w:val="21"/>
              </w:rPr>
            </w:pPr>
            <w:r>
              <w:rPr>
                <w:b/>
                <w:bCs/>
                <w:sz w:val="21"/>
                <w:szCs w:val="21"/>
              </w:rPr>
              <w:t xml:space="preserve">2022</w:t>
            </w:r>
            <w:r>
              <w:rPr>
                <w:b/>
                <w:bCs/>
                <w:sz w:val="21"/>
                <w:szCs w:val="21"/>
              </w:rPr>
              <w:t xml:space="preserve">年</w:t>
            </w:r>
          </w:p>
        </w:tc>
      </w:tr>
      <w:tr>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r>
              <w:rPr>
                <w:bCs/>
                <w:sz w:val="21"/>
                <w:szCs w:val="21"/>
              </w:rPr>
              <w:t xml:space="preserve">%</w:t>
            </w:r>
            <w:r>
              <w:rPr>
                <w:bCs/>
                <w:sz w:val="21"/>
                <w:szCs w:val="21"/>
              </w:rPr>
              <w:t xml:space="preserve">）</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rPr/>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5"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2"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2023年第三季度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明丰翠湖苑住宅2023年8月挂牌均价15144元/平方米，较年初持平。待评估二手房住宅近8个月（2023年01月-2023年08月）挂牌均价波动幅度较小，价格维持在15144元/平方米左右。</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苏州市吴江区明丰翠湖苑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F32050920230006751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s202302020010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s202302070087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s202302160192</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吴江区黎里镇明丰翠湖苑V6幢独栋住宅标准房基准价格评估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水晶湖畔58幢</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明丰翠湖苑2幢101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豪门府邸41号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舜湖路舜新路58号</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354.91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396.62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135.87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265.28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323.7</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五等（6）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五等（4）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五等（3）</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一等（5）</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五等（5）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一等（7）</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一等（10）</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2023年08月08日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14020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14808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13232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15299</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指数，吴江区2022年08月</w:t>
      </w:r>
      <w:r>
        <w:rPr>
          <w:rFonts w:hint="eastAsia" w:ascii="宋体" w:hAnsi="宋体" w:cs="宋体"/>
          <w:sz w:val="24"/>
          <w:szCs w:val="24"/>
          <w:shd w:val="clear" w:color="auto" w:fill="FFFFFF"/>
        </w:rPr>
        <w:t xml:space="preserve">至2023年07月</w:t>
      </w:r>
      <w:r>
        <w:rPr>
          <w:rFonts w:hint="eastAsia" w:ascii="宋体" w:hAnsi="宋体" w:cs="宋体"/>
          <w:sz w:val="24"/>
          <w:szCs w:val="24"/>
          <w:shd w:val="clear" w:color="auto" w:fill="FFFFFF"/>
        </w:rPr>
        <w:t xml:space="preserve">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2023年07月08日</w:t>
            </w:r>
          </w:p>
        </w:tc>
        <w:tc>
          <w:tcPr>
            <w:tcW w:w="778"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2023年01月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14020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14808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13232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15299</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2070</w:t>
            </w:r>
          </w:p>
        </w:tc>
        <w:tc>
          <w:tcPr>
            <w:tcW w:w="778"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1959</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2070/2070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2070/1959</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1.057</w:t>
            </w:r>
          </w:p>
        </w:tc>
        <w:tc>
          <w:tcPr>
            <w:tcW w:w="779" w:type="pct"/>
            <w:shd w:val="clear" w:color="auto" w:fill="FFFFFF"/>
            <w:vAlign w:val="center"/>
          </w:tcPr>
          <w:p>
            <w:pPr>
              <w:jc w:val="center"/>
              <w:rPr/>
            </w:pPr>
            <w:r>
              <w:rPr>
                <w:rFonts w:hint="eastAsia" w:ascii="宋体" w:hAnsi="宋体" w:cs="宋体"/>
              </w:rPr>
              <w:t xml:space="preserve">1.049</w:t>
            </w:r>
          </w:p>
        </w:tc>
        <w:tc>
          <w:tcPr>
            <w:tcW w:w="779" w:type="pct"/>
            <w:shd w:val="clear" w:color="auto" w:fill="FFFFFF"/>
            <w:vAlign w:val="center"/>
          </w:tcPr>
          <w:p>
            <w:pPr>
              <w:jc w:val="center"/>
              <w:rPr/>
            </w:pPr>
            <w:r>
              <w:rPr>
                <w:rFonts w:hint="eastAsia" w:ascii="宋体" w:hAnsi="宋体" w:cs="宋体"/>
              </w:rPr>
              <w:t xml:space="preserve">1.049</w:t>
            </w:r>
          </w:p>
        </w:tc>
        <w:tc>
          <w:tcPr>
            <w:tcW w:w="779" w:type="pct"/>
            <w:shd w:val="clear" w:color="auto" w:fill="FFFFFF"/>
            <w:vAlign w:val="center"/>
          </w:tcPr>
          <w:p>
            <w:pPr>
              <w:jc w:val="center"/>
              <w:rPr/>
            </w:pPr>
            <w:r>
              <w:rPr>
                <w:rFonts w:hint="eastAsia" w:ascii="宋体" w:hAnsi="宋体" w:cs="宋体"/>
              </w:rPr>
              <w:t xml:space="preserve">1.049</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备注：在价值时点2023年08月08日</w:t>
      </w:r>
      <w:r>
        <w:rPr>
          <w:rFonts w:hint="eastAsia" w:ascii="宋体" w:hAnsi="宋体" w:cs="宋体"/>
          <w:sz w:val="24"/>
          <w:szCs w:val="24"/>
        </w:rPr>
        <w:t xml:space="preserve">，2023年08月</w:t>
      </w:r>
      <w:r>
        <w:rPr>
          <w:rFonts w:hint="eastAsia" w:ascii="宋体" w:hAnsi="宋体" w:cs="宋体"/>
          <w:sz w:val="24"/>
          <w:szCs w:val="24"/>
        </w:rPr>
        <w:t xml:space="preserve">份价格指数尚未公布，本次估价采用2023年07月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0"/>
      <w:bookmarkStart w:name="_Toc352325665" w:id="11"/>
      <w:r>
        <w:rPr>
          <w:rFonts w:hint="eastAsia" w:ascii="宋体" w:hAnsi="宋体" w:cs="宋体"/>
          <w:b/>
          <w:sz w:val="21"/>
          <w:szCs w:val="21"/>
        </w:rPr>
        <w:t xml:space="preserve">（1）住宅房屋层次因素系数表</w:t>
      </w:r>
      <w:bookmarkEnd w:id="10"/>
      <w:bookmarkEnd w:id="11"/>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2"/>
      <w:bookmarkStart w:name="_Toc352325666" w:id="13"/>
      <w:r>
        <w:rPr>
          <w:rFonts w:hint="eastAsia" w:ascii="宋体" w:hAnsi="宋体" w:cs="宋体"/>
          <w:b/>
          <w:sz w:val="21"/>
          <w:szCs w:val="21"/>
        </w:rPr>
        <w:t xml:space="preserve">（2）住宅结构因素修正系数表</w:t>
      </w:r>
      <w:bookmarkEnd w:id="12"/>
      <w:bookmarkEnd w:id="13"/>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1596837" w:id="14"/>
            <w:bookmarkStart w:name="_Toc352325667" w:id="15"/>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4"/>
      <w:bookmarkEnd w:id="15"/>
    </w:p>
    <w:p>
      <w:pPr>
        <w:rPr>
          <w:vanish/>
          <w:sz w:val="21"/>
          <w:szCs w:val="21"/>
        </w:rPr>
      </w:pPr>
      <w:bookmarkStart w:name="_Toc352325668" w:id="16"/>
      <w:bookmarkStart w:name="_Toc351596838" w:id="17"/>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16"/>
      <w:bookmarkEnd w:id="17"/>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18"/>
            <w:bookmarkStart w:name="_Toc352325669" w:id="19"/>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1005876490"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8"/>
      <w:bookmarkEnd w:id="19"/>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w:t>
            </w:r>
            <w:r>
              <w:rPr>
                <w:rFonts w:hint="eastAsia"/>
                <w:sz w:val="21"/>
                <w:szCs w:val="21"/>
              </w:rPr>
              <w:t xml:space="preserve">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吴江区黎里镇明丰翠湖苑V6幢独栋住宅标准房基准价格评估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水晶湖畔58幢</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明丰翠湖苑2幢101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豪门府邸41号</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舜湖路舜新路58号</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354.91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396.62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135.87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265.28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323.7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0.9259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0.9351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0.9259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w:t>
            </w:r>
            <w:r>
              <w:rPr>
                <w:rFonts w:hint="eastAsia" w:ascii="宋体" w:hAnsi="宋体" w:cs="宋体"/>
              </w:rPr>
              <w:t xml:space="preserve">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24</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108.5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1.0529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0.9171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0.9689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0.9694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w:t>
            </w:r>
            <w:r>
              <w:rPr>
                <w:rFonts w:hint="eastAsia" w:ascii="宋体" w:hAnsi="宋体" w:cs="宋体"/>
              </w:rPr>
              <w:t xml:space="preserve">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14020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14808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13232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15299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w:t>
            </w:r>
            <w:r>
              <w:rPr>
                <w:rFonts w:hint="eastAsia" w:ascii="宋体" w:hAnsi="宋体" w:cs="宋体"/>
              </w:rPr>
              <w:t xml:space="preserve">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13584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13531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14831</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14020</w:t>
            </w:r>
          </w:p>
        </w:tc>
        <w:tc>
          <w:tcPr>
            <w:tcW w:w="922" w:type="pct"/>
            <w:shd w:val="clear" w:color="auto" w:fill="auto"/>
            <w:vAlign w:val="center"/>
          </w:tcPr>
          <w:p>
            <w:pPr>
              <w:jc w:val="center"/>
              <w:rPr>
                <w:rFonts w:ascii="宋体" w:hAnsi="宋体" w:cs="宋体"/>
              </w:rPr>
            </w:pPr>
            <w:r>
              <w:rPr>
                <w:rFonts w:hint="eastAsia" w:ascii="宋体" w:hAnsi="宋体" w:cs="宋体"/>
              </w:rPr>
              <w:t xml:space="preserve">14808</w:t>
            </w:r>
          </w:p>
        </w:tc>
        <w:tc>
          <w:tcPr>
            <w:tcW w:w="922" w:type="pct"/>
            <w:shd w:val="clear" w:color="auto" w:fill="auto"/>
            <w:vAlign w:val="center"/>
          </w:tcPr>
          <w:p>
            <w:pPr>
              <w:jc w:val="center"/>
              <w:rPr>
                <w:rFonts w:ascii="宋体" w:hAnsi="宋体" w:cs="宋体"/>
              </w:rPr>
            </w:pPr>
            <w:r>
              <w:rPr>
                <w:rFonts w:hint="eastAsia" w:ascii="宋体" w:hAnsi="宋体" w:cs="宋体"/>
              </w:rPr>
              <w:t xml:space="preserve">13232</w:t>
            </w:r>
          </w:p>
        </w:tc>
        <w:tc>
          <w:tcPr>
            <w:tcW w:w="922" w:type="pct"/>
            <w:shd w:val="clear" w:color="auto" w:fill="auto"/>
            <w:vAlign w:val="center"/>
          </w:tcPr>
          <w:p>
            <w:pPr>
              <w:jc w:val="center"/>
              <w:rPr>
                <w:rFonts w:ascii="宋体" w:hAnsi="宋体" w:cs="宋体"/>
              </w:rPr>
            </w:pPr>
            <w:r>
              <w:rPr>
                <w:rFonts w:hint="eastAsia" w:ascii="宋体" w:hAnsi="宋体" w:cs="宋体"/>
              </w:rPr>
              <w:t xml:space="preserve">15299</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102/109.08</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102/102</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99.5/94.5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99.5/108.5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0.9689</w:t>
            </w:r>
          </w:p>
        </w:tc>
        <w:tc>
          <w:tcPr>
            <w:tcW w:w="922" w:type="pct"/>
            <w:shd w:val="clear" w:color="auto" w:fill="auto"/>
            <w:vAlign w:val="center"/>
          </w:tcPr>
          <w:p>
            <w:pPr>
              <w:jc w:val="center"/>
              <w:rPr>
                <w:rFonts w:ascii="宋体" w:hAnsi="宋体" w:cs="宋体"/>
              </w:rPr>
            </w:pPr>
            <w:r>
              <w:rPr>
                <w:rFonts w:hint="eastAsia" w:ascii="宋体" w:hAnsi="宋体" w:cs="宋体"/>
              </w:rPr>
              <w:t xml:space="preserve">0.9809</w:t>
            </w:r>
          </w:p>
        </w:tc>
        <w:tc>
          <w:tcPr>
            <w:tcW w:w="922" w:type="pct"/>
            <w:shd w:val="clear" w:color="auto" w:fill="auto"/>
            <w:vAlign w:val="center"/>
          </w:tcPr>
          <w:p>
            <w:pPr>
              <w:jc w:val="center"/>
              <w:rPr>
                <w:rFonts w:ascii="宋体" w:hAnsi="宋体" w:cs="宋体"/>
              </w:rPr>
            </w:pPr>
            <w:r>
              <w:rPr>
                <w:rFonts w:hint="eastAsia" w:ascii="宋体" w:hAnsi="宋体" w:cs="宋体"/>
              </w:rPr>
              <w:t xml:space="preserve">1.0226</w:t>
            </w:r>
          </w:p>
        </w:tc>
        <w:tc>
          <w:tcPr>
            <w:tcW w:w="922" w:type="pct"/>
            <w:shd w:val="clear" w:color="auto" w:fill="auto"/>
            <w:vAlign w:val="center"/>
          </w:tcPr>
          <w:p>
            <w:pPr>
              <w:jc w:val="center"/>
              <w:rPr>
                <w:rFonts w:ascii="宋体" w:hAnsi="宋体" w:cs="宋体"/>
              </w:rPr>
            </w:pPr>
            <w:r>
              <w:rPr>
                <w:rFonts w:hint="eastAsia" w:ascii="宋体" w:hAnsi="宋体" w:cs="宋体"/>
              </w:rPr>
              <w:t xml:space="preserve">0.9694</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13584</w:t>
            </w:r>
          </w:p>
        </w:tc>
        <w:tc>
          <w:tcPr>
            <w:tcW w:w="922" w:type="pct"/>
            <w:shd w:val="clear" w:color="auto" w:fill="auto"/>
            <w:vAlign w:val="center"/>
          </w:tcPr>
          <w:p>
            <w:pPr>
              <w:jc w:val="center"/>
              <w:rPr>
                <w:rFonts w:ascii="宋体" w:hAnsi="宋体" w:cs="宋体"/>
              </w:rPr>
            </w:pPr>
            <w:r>
              <w:rPr>
                <w:rFonts w:hint="eastAsia" w:ascii="宋体" w:hAnsi="宋体" w:cs="宋体"/>
              </w:rPr>
              <w:t xml:space="preserve">14525</w:t>
            </w:r>
          </w:p>
        </w:tc>
        <w:tc>
          <w:tcPr>
            <w:tcW w:w="922" w:type="pct"/>
            <w:shd w:val="clear" w:color="auto" w:fill="auto"/>
            <w:vAlign w:val="center"/>
          </w:tcPr>
          <w:p>
            <w:pPr>
              <w:jc w:val="center"/>
              <w:rPr>
                <w:rFonts w:ascii="宋体" w:hAnsi="宋体" w:cs="宋体"/>
              </w:rPr>
            </w:pPr>
            <w:r>
              <w:rPr>
                <w:rFonts w:hint="eastAsia" w:ascii="宋体" w:hAnsi="宋体" w:cs="宋体"/>
              </w:rPr>
              <w:t xml:space="preserve">13531</w:t>
            </w:r>
          </w:p>
        </w:tc>
        <w:tc>
          <w:tcPr>
            <w:tcW w:w="922" w:type="pct"/>
            <w:shd w:val="clear" w:color="auto" w:fill="auto"/>
            <w:vAlign w:val="center"/>
          </w:tcPr>
          <w:p>
            <w:pPr>
              <w:jc w:val="center"/>
              <w:rPr>
                <w:rFonts w:ascii="宋体" w:hAnsi="宋体" w:cs="宋体"/>
              </w:rPr>
            </w:pPr>
            <w:r>
              <w:rPr>
                <w:rFonts w:hint="eastAsia" w:ascii="宋体" w:hAnsi="宋体" w:cs="宋体"/>
              </w:rPr>
              <w:t xml:space="preserve">14831</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13584</w:t>
            </w:r>
          </w:p>
        </w:tc>
        <w:tc>
          <w:tcPr>
            <w:tcW w:w="922" w:type="pct"/>
            <w:shd w:val="clear" w:color="auto" w:fill="auto"/>
            <w:vAlign w:val="center"/>
          </w:tcPr>
          <w:p>
            <w:pPr>
              <w:jc w:val="center"/>
              <w:rPr>
                <w:rFonts w:ascii="宋体" w:hAnsi="宋体" w:cs="宋体"/>
              </w:rPr>
            </w:pPr>
            <w:r>
              <w:rPr>
                <w:rFonts w:hint="eastAsia" w:ascii="宋体" w:hAnsi="宋体" w:cs="宋体"/>
              </w:rPr>
              <w:t xml:space="preserve">14525</w:t>
            </w:r>
          </w:p>
        </w:tc>
        <w:tc>
          <w:tcPr>
            <w:tcW w:w="922" w:type="pct"/>
            <w:shd w:val="clear" w:color="auto" w:fill="auto"/>
            <w:vAlign w:val="center"/>
          </w:tcPr>
          <w:p>
            <w:pPr>
              <w:jc w:val="center"/>
              <w:rPr>
                <w:rFonts w:ascii="宋体" w:hAnsi="宋体" w:cs="宋体"/>
              </w:rPr>
            </w:pPr>
            <w:r>
              <w:rPr>
                <w:rFonts w:hint="eastAsia" w:ascii="宋体" w:hAnsi="宋体" w:cs="宋体"/>
              </w:rPr>
              <w:t xml:space="preserve">13531</w:t>
            </w:r>
          </w:p>
        </w:tc>
        <w:tc>
          <w:tcPr>
            <w:tcW w:w="922" w:type="pct"/>
            <w:shd w:val="clear" w:color="auto" w:fill="auto"/>
            <w:vAlign w:val="center"/>
          </w:tcPr>
          <w:p>
            <w:pPr>
              <w:jc w:val="center"/>
              <w:rPr>
                <w:rFonts w:ascii="宋体" w:hAnsi="宋体" w:cs="宋体"/>
              </w:rPr>
            </w:pPr>
            <w:r>
              <w:rPr>
                <w:rFonts w:hint="eastAsia" w:ascii="宋体" w:hAnsi="宋体" w:cs="宋体"/>
              </w:rPr>
              <w:t xml:space="preserve">14831</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14118</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0"/>
      <w:bookmarkStart w:name="_Toc32222395" w:id="21"/>
      <w:r>
        <w:rPr>
          <w:rFonts w:hint="eastAsia" w:ascii="黑体" w:eastAsia="黑体"/>
          <w:sz w:val="48"/>
        </w:rPr>
        <w:t xml:space="preserve">附    件</w:t>
      </w:r>
      <w:bookmarkEnd w:id="20"/>
      <w:bookmarkEnd w:id="21"/>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F32050920230006751</w:t>
            </w:r>
          </w:p>
        </w:tc>
        <w:tc>
          <w:tcPr>
            <w:tcW w:w="1842" w:type="dxa"/>
            <w:vAlign w:val="center"/>
          </w:tcPr>
          <w:p>
            <w:pPr>
              <w:jc w:val="center"/>
              <w:rPr/>
            </w:pPr>
            <w:r>
              <w:rPr>
                <w:rFonts w:hint="eastAsia" w:ascii="宋体" w:hAnsi="宋体" w:cs="宋体"/>
              </w:rPr>
              <w:t xml:space="preserve">s202302020010</w:t>
            </w:r>
          </w:p>
        </w:tc>
        <w:tc>
          <w:tcPr>
            <w:tcW w:w="1843" w:type="dxa"/>
            <w:vAlign w:val="center"/>
          </w:tcPr>
          <w:p>
            <w:pPr>
              <w:jc w:val="center"/>
              <w:rPr/>
            </w:pPr>
            <w:r>
              <w:rPr>
                <w:rFonts w:hint="eastAsia" w:ascii="宋体" w:hAnsi="宋体" w:cs="宋体"/>
              </w:rPr>
              <w:t xml:space="preserve">s202302070087</w:t>
            </w:r>
          </w:p>
        </w:tc>
        <w:tc>
          <w:tcPr>
            <w:tcW w:w="1985" w:type="dxa"/>
            <w:vAlign w:val="center"/>
          </w:tcPr>
          <w:p>
            <w:pPr>
              <w:jc w:val="center"/>
              <w:rPr/>
            </w:pPr>
            <w:r>
              <w:rPr>
                <w:rFonts w:hint="eastAsia" w:ascii="宋体" w:hAnsi="宋体" w:cs="宋体"/>
              </w:rPr>
              <w:t xml:space="preserve">s202302160192</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水晶湖畔58幢</w:t>
            </w:r>
          </w:p>
        </w:tc>
        <w:tc>
          <w:tcPr>
            <w:tcW w:w="1842" w:type="dxa"/>
            <w:vAlign w:val="center"/>
          </w:tcPr>
          <w:p>
            <w:pPr>
              <w:jc w:val="center"/>
              <w:rPr/>
            </w:pPr>
            <w:r>
              <w:rPr>
                <w:rFonts w:hint="eastAsia" w:ascii="宋体" w:hAnsi="宋体" w:cs="宋体"/>
              </w:rPr>
              <w:t xml:space="preserve">明丰翠湖苑2幢101</w:t>
            </w:r>
          </w:p>
        </w:tc>
        <w:tc>
          <w:tcPr>
            <w:tcW w:w="1843" w:type="dxa"/>
            <w:vAlign w:val="center"/>
          </w:tcPr>
          <w:p>
            <w:pPr>
              <w:jc w:val="center"/>
              <w:rPr/>
            </w:pPr>
            <w:r>
              <w:rPr>
                <w:rFonts w:hint="eastAsia" w:ascii="宋体" w:hAnsi="宋体" w:cs="宋体"/>
              </w:rPr>
              <w:t xml:space="preserve">豪门府邸41号</w:t>
            </w:r>
          </w:p>
        </w:tc>
        <w:tc>
          <w:tcPr>
            <w:tcW w:w="1985" w:type="dxa"/>
            <w:vAlign w:val="center"/>
          </w:tcPr>
          <w:p>
            <w:pPr>
              <w:jc w:val="center"/>
              <w:rPr/>
            </w:pPr>
            <w:r>
              <w:rPr>
                <w:rFonts w:hint="eastAsia" w:ascii="宋体" w:hAnsi="宋体" w:cs="宋体"/>
              </w:rPr>
              <w:t xml:space="preserve">舜湖路舜新路58号</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水晶湖畔58幢</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明丰翠湖苑2幢101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豪门府邸41号</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舜湖路舜新路58号</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200"/>
  <w:bordersDoNotSurroundFooter/>
  <w:bordersDoNotSurroundHeader/>
  <w:proofState w:spelling="clean"/>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pn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pn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33</Pages>
  <Words>3183</Words>
  <Characters>18149</Characters>
  <Application>Microsoft Office Word</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3</cp:revision>
  <cp:lastPrinted>2020-03-31T02:20:00Z</cp:lastPrinted>
  <dcterms:created xsi:type="dcterms:W3CDTF">2023-05-06T01:44:00Z</dcterms:created>
  <dcterms:modified xsi:type="dcterms:W3CDTF">2023-07-03T02:30:00Z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