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苏吴地评税字(2023)吴江第00778号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吴越祥庭</w:t>
      </w:r>
      <w:r>
        <w:rPr>
          <w:rFonts w:ascii="宋体" w:hAnsi="宋体" w:eastAsia="宋体" w:asciiTheme="minorEastAsia" w:hAnsiTheme="minorEastAsia" w:eastAsiaTheme="minorEastAsia"/>
          <w:sz w:val="24"/>
          <w:szCs w:val="24"/>
        </w:rPr>
        <w:t xml:space="preserve">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估价对象位于苏州市吴江区区域范围内的吴越祥庭</w:t>
      </w:r>
      <w:r>
        <w:rPr>
          <w:rFonts w:hint="eastAsia" w:ascii="宋体"/>
          <w:sz w:val="24"/>
        </w:rPr>
        <w:t xml:space="preserve">住宅小区联排存量房。该小区内的物业类型包括：</w:t>
      </w:r>
      <w:r>
        <w:rPr>
          <w:rFonts w:ascii="宋体"/>
          <w:sz w:val="24"/>
        </w:rPr>
        <w:t xml:space="preserve">普通多层、电梯多层、小高层、高层、联排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月修订版），结合估价人员现场查勘，选取吴越祥庭</w:t>
      </w:r>
      <w:r>
        <w:rPr>
          <w:rFonts w:ascii="宋体"/>
          <w:sz w:val="24"/>
        </w:rPr>
        <w:t xml:space="preserve">1幢102室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226.22</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2077年06月21日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贰万壹仟伍佰柒拾捌元整</w:t>
      </w:r>
      <w:r>
        <w:rPr>
          <w:rFonts w:hint="eastAsia" w:ascii="宋体" w:hAnsi="宋体"/>
          <w:b/>
          <w:bCs/>
          <w:sz w:val="24"/>
        </w:rPr>
        <w:t xml:space="preserve">（RMB</w:t>
      </w:r>
      <w:r>
        <w:rPr>
          <w:rFonts w:ascii="宋体" w:hAnsi="宋体"/>
          <w:b/>
          <w:bCs/>
          <w:sz w:val="24"/>
        </w:rPr>
        <w:t xml:space="preserve"> 21578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2023年08月28日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2023年08月28日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2023年08月28日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5.本报告作为整体使用时有效。若房地产市场无重大波动，本估价报告自出具日起一年内有效，从2023年08月28日</w:t>
      </w:r>
      <w:r>
        <w:rPr>
          <w:rFonts w:hint="eastAsia" w:ascii="宋体" w:hAnsi="宋体"/>
          <w:sz w:val="24"/>
        </w:rPr>
        <w:t xml:space="preserve">至</w:t>
      </w:r>
      <w:r>
        <w:rPr>
          <w:rFonts w:ascii="宋体" w:hAnsi="宋体"/>
          <w:sz w:val="24"/>
        </w:rPr>
        <w:t xml:space="preserve">2024年08月27日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吴越祥庭</w:t>
      </w:r>
      <w:r>
        <w:rPr>
          <w:rFonts w:ascii="宋体" w:hAnsi="宋体"/>
          <w:sz w:val="24"/>
        </w:rPr>
        <w:t xml:space="preserve">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河道西侧</w:t>
      </w:r>
      <w:r>
        <w:rPr>
          <w:rFonts w:hint="eastAsia" w:hAnsi="宋体"/>
          <w:sz w:val="24"/>
        </w:rPr>
        <w:t xml:space="preserve">的“</w:t>
      </w:r>
      <w:r>
        <w:rPr>
          <w:rFonts w:hint="eastAsia" w:hAnsi="宋体"/>
          <w:sz w:val="24"/>
        </w:rPr>
        <w:t xml:space="preserve">吴越祥庭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河道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仲英大道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河道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大江河路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226.22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河道西侧</w:t>
      </w:r>
      <w:r>
        <w:rPr>
          <w:rFonts w:hint="eastAsia" w:hAnsi="宋体"/>
          <w:sz w:val="24"/>
        </w:rPr>
        <w:t xml:space="preserve">的“吴越祥庭</w:t>
      </w:r>
      <w:r>
        <w:rPr>
          <w:rFonts w:hint="eastAsia" w:hAnsi="宋体"/>
          <w:sz w:val="24"/>
        </w:rPr>
        <w:t xml:space="preserve">”住宅区内。该小区内的物业类型包括：</w:t>
      </w:r>
      <w:r>
        <w:rPr>
          <w:rFonts w:hAnsi="宋体"/>
          <w:sz w:val="24"/>
        </w:rPr>
        <w:t xml:space="preserve">普通多层、电梯多层、小高层、高层、联排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吴越祥庭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吴越祥庭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由于吴越祥庭市场交易不活跃，片区内可选案例较少，因此选择的案例B，C，D，距离在3公里以外。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吴越祥庭住宅2023年8月挂牌均价18813元/平方米，较年初持平。待评估二手房住宅近8个月（2023年01月-2023年08月）挂牌均价波动幅度较小，价格维持在18813-19557元/平方米之间。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均价说明：吴越祥庭小区物业类型包括：普通多层、电梯多层、小高层、高层、联排,房源均价为:18813元/平方米，包含毛坯价值以及附带装修价值。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w:t>
      </w:r>
      <w:r>
        <w:rPr>
          <w:rFonts w:hint="eastAsia" w:ascii="宋体" w:hAnsi="宋体"/>
          <w:sz w:val="24"/>
        </w:rPr>
        <w:t xml:space="preserve">层住宅楼的第1-3层，建于2010年，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226.22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2077年06月21日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贰万壹仟伍佰柒拾捌元整</w:t>
      </w:r>
      <w:r>
        <w:rPr>
          <w:rFonts w:hint="eastAsia" w:ascii="宋体" w:hAnsi="宋体"/>
          <w:b/>
          <w:bCs/>
          <w:sz w:val="24"/>
        </w:rPr>
        <w:t xml:space="preserve">（RMB </w:t>
      </w:r>
      <w:r>
        <w:rPr>
          <w:rFonts w:ascii="宋体" w:hAnsi="宋体"/>
          <w:b/>
          <w:bCs/>
          <w:sz w:val="24"/>
        </w:rPr>
        <w:t xml:space="preserve">21578</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488.13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21578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2023年08月28日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2023年08月28日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2023年08月15日</w:t>
      </w:r>
      <w:r>
        <w:rPr>
          <w:rFonts w:hint="eastAsia" w:ascii="宋体"/>
          <w:sz w:val="24"/>
        </w:rPr>
        <w:t xml:space="preserve">至2023年08月28日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吴越祥庭</w:t>
      </w:r>
      <w:r>
        <w:rPr>
          <w:rFonts w:hint="eastAsia" w:hAnsi="宋体"/>
          <w:sz w:val="24"/>
        </w:rPr>
        <w:t xml:space="preserve">”住宅区内的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仲英大道北侧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仲英大道北侧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附近有711路、718路、721路、722路等多条公交线路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乐购</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吉旺家食材</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实验小学附属吴江明珠幼儿园</w:t>
      </w:r>
      <w:r>
        <w:rPr>
          <w:rFonts w:hint="eastAsia" w:ascii="宋体" w:hAnsi="宋体" w:eastAsia="宋体" w:asciiTheme="minorEastAsia" w:hAnsiTheme="minorEastAsia" w:eastAsiaTheme="minorEastAsia"/>
          <w:sz w:val="24"/>
        </w:rPr>
        <w:t xml:space="preserve">、</w:t>
      </w:r>
      <w:r>
        <w:rPr>
          <w:rFonts w:hAnsi="宋体"/>
          <w:sz w:val="24"/>
        </w:rPr>
        <w:t xml:space="preserve">天和小学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2077年06月21日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河道</w:t>
      </w:r>
      <w:r>
        <w:rPr>
          <w:rFonts w:hint="eastAsia" w:ascii="宋体" w:hAnsi="宋体"/>
          <w:sz w:val="24"/>
        </w:rPr>
        <w:t xml:space="preserve">，南至</w:t>
      </w:r>
      <w:r>
        <w:rPr>
          <w:rFonts w:ascii="宋体" w:hAnsi="宋体"/>
          <w:sz w:val="24"/>
        </w:rPr>
        <w:t xml:space="preserve">仲英大道</w:t>
      </w:r>
      <w:r>
        <w:rPr>
          <w:rFonts w:hint="eastAsia" w:ascii="宋体" w:hAnsi="宋体"/>
          <w:sz w:val="24"/>
        </w:rPr>
        <w:t xml:space="preserve">，西至</w:t>
      </w:r>
      <w:r>
        <w:rPr>
          <w:rFonts w:ascii="宋体" w:hAnsi="宋体"/>
          <w:sz w:val="24"/>
        </w:rPr>
        <w:t xml:space="preserve">河道</w:t>
      </w:r>
      <w:r>
        <w:rPr>
          <w:rFonts w:hint="eastAsia" w:ascii="宋体" w:hAnsi="宋体"/>
          <w:sz w:val="24"/>
        </w:rPr>
        <w:t xml:space="preserve">，北至</w:t>
      </w:r>
      <w:r>
        <w:rPr>
          <w:rFonts w:ascii="宋体" w:hAnsi="宋体"/>
          <w:sz w:val="24"/>
        </w:rPr>
        <w:t xml:space="preserve">大江河路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估价对象为坐落于苏州市吴江区吴越祥庭</w:t>
      </w:r>
      <w:r>
        <w:t xml:space="preserve"> </w:t>
      </w:r>
      <w:r>
        <w:rPr>
          <w:rFonts w:ascii="宋体" w:hAnsi="宋体"/>
          <w:kern w:val="2"/>
          <w:sz w:val="24"/>
        </w:rPr>
        <w:t xml:space="preserve">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联排</w:t>
      </w:r>
      <w:r>
        <w:rPr>
          <w:rFonts w:hint="eastAsia" w:hAnsi="宋体"/>
          <w:sz w:val="24"/>
        </w:rPr>
        <w:t xml:space="preserve">建筑，建筑面积为</w:t>
      </w:r>
      <w:r>
        <w:rPr>
          <w:rFonts w:hAnsi="宋体"/>
          <w:sz w:val="24"/>
        </w:rPr>
        <w:t xml:space="preserve">226.22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2010</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吴越祥庭住宅2023年8月挂牌均价18813元/平方米，较年初持平。待评估二手房住宅近8个月（2023年01月-2023年08月）挂牌均价波动幅度较小，价格维持在18813-19557元/平方米之间。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苏州市吴江区吴越祥庭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F32050920230003006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w202212090021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s202301183259</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吴江区吴江经济开发区吴越祥庭1幢102室联排住宅标准房基准价格评估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吴越祥庭4幢102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太阳湖大花园钻石湾别墅515幢104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奥林清华世纪公元87幢301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绿地太湖城145幢101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226.22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237.44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237.97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21522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22438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23112</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2023年07月15日</w:t>
            </w:r>
          </w:p>
        </w:tc>
        <w:tc>
          <w:tcPr>
            <w:tcW w:w="778" w:type="pct"/>
            <w:shd w:val="clear" w:color="auto" w:fill="FFFFFF"/>
            <w:vAlign w:val="center"/>
          </w:tcPr>
          <w:p>
            <w:pPr>
              <w:jc w:val="center"/>
              <w:rPr/>
            </w:pPr>
            <w:r>
              <w:rPr>
                <w:rFonts w:hint="eastAsia" w:ascii="宋体" w:hAnsi="宋体" w:cs="宋体"/>
              </w:rPr>
              <w:t xml:space="preserve">2023年05月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21522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22438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20060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23112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2040</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1.015</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1.049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备注：在价值时点2023年08月15日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67558073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吴江区吴江经济开发区吴越祥庭1幢102室联排住宅标准房基准价格评估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吴越祥庭4幢102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太阳湖大花园钻石湾别墅515幢104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奥林清华世纪公元87幢301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绿地太湖城145幢101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226.22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237.44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160.27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237.97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21522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22438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23112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21845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22592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21522</w:t>
            </w:r>
          </w:p>
        </w:tc>
        <w:tc>
          <w:tcPr>
            <w:tcW w:w="922" w:type="pct"/>
            <w:shd w:val="clear" w:color="auto" w:fill="auto"/>
            <w:vAlign w:val="center"/>
          </w:tcPr>
          <w:p>
            <w:pPr>
              <w:jc w:val="center"/>
              <w:rPr>
                <w:rFonts w:ascii="宋体" w:hAnsi="宋体" w:cs="宋体"/>
              </w:rPr>
            </w:pPr>
            <w:r>
              <w:rPr>
                <w:rFonts w:hint="eastAsia" w:ascii="宋体" w:hAnsi="宋体" w:cs="宋体"/>
              </w:rPr>
              <w:t xml:space="preserve">22438</w:t>
            </w:r>
          </w:p>
        </w:tc>
        <w:tc>
          <w:tcPr>
            <w:tcW w:w="922" w:type="pct"/>
            <w:shd w:val="clear" w:color="auto" w:fill="auto"/>
            <w:vAlign w:val="center"/>
          </w:tcPr>
          <w:p>
            <w:pPr>
              <w:jc w:val="center"/>
              <w:rPr>
                <w:rFonts w:ascii="宋体" w:hAnsi="宋体" w:cs="宋体"/>
              </w:rPr>
            </w:pPr>
            <w:r>
              <w:rPr>
                <w:rFonts w:hint="eastAsia" w:ascii="宋体" w:hAnsi="宋体" w:cs="宋体"/>
              </w:rPr>
              <w:t xml:space="preserve">20060</w:t>
            </w:r>
          </w:p>
        </w:tc>
        <w:tc>
          <w:tcPr>
            <w:tcW w:w="922" w:type="pct"/>
            <w:shd w:val="clear" w:color="auto" w:fill="auto"/>
            <w:vAlign w:val="center"/>
          </w:tcPr>
          <w:p>
            <w:pPr>
              <w:jc w:val="center"/>
              <w:rPr>
                <w:rFonts w:ascii="宋体" w:hAnsi="宋体" w:cs="宋体"/>
              </w:rPr>
            </w:pPr>
            <w:r>
              <w:rPr>
                <w:rFonts w:hint="eastAsia" w:ascii="宋体" w:hAnsi="宋体" w:cs="宋体"/>
              </w:rPr>
              <w:t xml:space="preserve">23112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110.16/114.57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99.5/101.5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0.9791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0.9922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0.9775</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21845</w:t>
            </w:r>
          </w:p>
        </w:tc>
        <w:tc>
          <w:tcPr>
            <w:tcW w:w="922" w:type="pct"/>
            <w:shd w:val="clear" w:color="auto" w:fill="auto"/>
            <w:vAlign w:val="center"/>
          </w:tcPr>
          <w:p>
            <w:pPr>
              <w:jc w:val="center"/>
              <w:rPr>
                <w:rFonts w:ascii="宋体" w:hAnsi="宋体" w:cs="宋体"/>
              </w:rPr>
            </w:pPr>
            <w:r>
              <w:rPr>
                <w:rFonts w:hint="eastAsia" w:ascii="宋体" w:hAnsi="宋体" w:cs="宋体"/>
              </w:rPr>
              <w:t xml:space="preserve">21969</w:t>
            </w:r>
          </w:p>
        </w:tc>
        <w:tc>
          <w:tcPr>
            <w:tcW w:w="922" w:type="pct"/>
            <w:shd w:val="clear" w:color="auto" w:fill="auto"/>
            <w:vAlign w:val="center"/>
          </w:tcPr>
          <w:p>
            <w:pPr>
              <w:jc w:val="center"/>
              <w:rPr>
                <w:rFonts w:ascii="宋体" w:hAnsi="宋体" w:cs="宋体"/>
              </w:rPr>
            </w:pPr>
            <w:r>
              <w:rPr>
                <w:rFonts w:hint="eastAsia" w:ascii="宋体" w:hAnsi="宋体" w:cs="宋体"/>
              </w:rPr>
              <w:t xml:space="preserve">19904</w:t>
            </w:r>
          </w:p>
        </w:tc>
        <w:tc>
          <w:tcPr>
            <w:tcW w:w="922" w:type="pct"/>
            <w:shd w:val="clear" w:color="auto" w:fill="auto"/>
            <w:vAlign w:val="center"/>
          </w:tcPr>
          <w:p>
            <w:pPr>
              <w:jc w:val="center"/>
              <w:rPr>
                <w:rFonts w:ascii="宋体" w:hAnsi="宋体" w:cs="宋体"/>
              </w:rPr>
            </w:pPr>
            <w:r>
              <w:rPr>
                <w:rFonts w:hint="eastAsia" w:ascii="宋体" w:hAnsi="宋体" w:cs="宋体"/>
              </w:rPr>
              <w:t xml:space="preserve">22592</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21845</w:t>
            </w:r>
          </w:p>
        </w:tc>
        <w:tc>
          <w:tcPr>
            <w:tcW w:w="922" w:type="pct"/>
            <w:shd w:val="clear" w:color="auto" w:fill="auto"/>
            <w:vAlign w:val="center"/>
          </w:tcPr>
          <w:p>
            <w:pPr>
              <w:jc w:val="center"/>
              <w:rPr>
                <w:rFonts w:ascii="宋体" w:hAnsi="宋体" w:cs="宋体"/>
              </w:rPr>
            </w:pPr>
            <w:r>
              <w:rPr>
                <w:rFonts w:hint="eastAsia" w:ascii="宋体" w:hAnsi="宋体" w:cs="宋体"/>
              </w:rPr>
              <w:t xml:space="preserve">21969</w:t>
            </w:r>
          </w:p>
        </w:tc>
        <w:tc>
          <w:tcPr>
            <w:tcW w:w="922" w:type="pct"/>
            <w:shd w:val="clear" w:color="auto" w:fill="auto"/>
            <w:vAlign w:val="center"/>
          </w:tcPr>
          <w:p>
            <w:pPr>
              <w:jc w:val="center"/>
              <w:rPr>
                <w:rFonts w:ascii="宋体" w:hAnsi="宋体" w:cs="宋体"/>
              </w:rPr>
            </w:pPr>
            <w:r>
              <w:rPr>
                <w:rFonts w:hint="eastAsia" w:ascii="宋体" w:hAnsi="宋体" w:cs="宋体"/>
              </w:rPr>
              <w:t xml:space="preserve">19904</w:t>
            </w:r>
          </w:p>
        </w:tc>
        <w:tc>
          <w:tcPr>
            <w:tcW w:w="922" w:type="pct"/>
            <w:shd w:val="clear" w:color="auto" w:fill="auto"/>
            <w:vAlign w:val="center"/>
          </w:tcPr>
          <w:p>
            <w:pPr>
              <w:jc w:val="center"/>
              <w:rPr>
                <w:rFonts w:ascii="宋体" w:hAnsi="宋体" w:cs="宋体"/>
              </w:rPr>
            </w:pPr>
            <w:r>
              <w:rPr>
                <w:rFonts w:hint="eastAsia" w:ascii="宋体" w:hAnsi="宋体" w:cs="宋体"/>
              </w:rPr>
              <w:t xml:space="preserve">22592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21578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F32050920230003006</w:t>
            </w:r>
          </w:p>
        </w:tc>
        <w:tc>
          <w:tcPr>
            <w:tcW w:w="1842" w:type="dxa"/>
            <w:vAlign w:val="center"/>
          </w:tcPr>
          <w:p>
            <w:pPr>
              <w:jc w:val="center"/>
              <w:rPr/>
            </w:pPr>
            <w:r>
              <w:rPr>
                <w:rFonts w:hint="eastAsia" w:ascii="宋体" w:hAnsi="宋体" w:cs="宋体"/>
              </w:rPr>
              <w:t xml:space="preserve">F32050920230006504</w:t>
            </w:r>
          </w:p>
        </w:tc>
        <w:tc>
          <w:tcPr>
            <w:tcW w:w="1843" w:type="dxa"/>
            <w:vAlign w:val="center"/>
          </w:tcPr>
          <w:p>
            <w:pPr>
              <w:jc w:val="center"/>
              <w:rPr/>
            </w:pPr>
            <w:r>
              <w:rPr>
                <w:rFonts w:hint="eastAsia" w:ascii="宋体" w:hAnsi="宋体" w:cs="宋体"/>
              </w:rPr>
              <w:t xml:space="preserve">w202212090021</w:t>
            </w:r>
          </w:p>
        </w:tc>
        <w:tc>
          <w:tcPr>
            <w:tcW w:w="1985" w:type="dxa"/>
            <w:vAlign w:val="center"/>
          </w:tcPr>
          <w:p>
            <w:pPr>
              <w:jc w:val="center"/>
              <w:rPr/>
            </w:pPr>
            <w:r>
              <w:rPr>
                <w:rFonts w:hint="eastAsia" w:ascii="宋体" w:hAnsi="宋体" w:cs="宋体"/>
              </w:rPr>
              <w:t xml:space="preserve">s202301183259</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吴越祥庭4幢102</w:t>
            </w:r>
          </w:p>
        </w:tc>
        <w:tc>
          <w:tcPr>
            <w:tcW w:w="1842" w:type="dxa"/>
            <w:vAlign w:val="center"/>
          </w:tcPr>
          <w:p>
            <w:pPr>
              <w:jc w:val="center"/>
              <w:rPr/>
            </w:pPr>
            <w:r>
              <w:rPr>
                <w:rFonts w:hint="eastAsia" w:ascii="宋体" w:hAnsi="宋体" w:cs="宋体"/>
              </w:rPr>
              <w:t xml:space="preserve">太阳湖大花园钻石湾别墅515幢104</w:t>
            </w:r>
          </w:p>
        </w:tc>
        <w:tc>
          <w:tcPr>
            <w:tcW w:w="1843" w:type="dxa"/>
            <w:vAlign w:val="center"/>
          </w:tcPr>
          <w:p>
            <w:pPr>
              <w:jc w:val="center"/>
              <w:rPr/>
            </w:pPr>
            <w:r>
              <w:rPr>
                <w:rFonts w:hint="eastAsia" w:ascii="宋体" w:hAnsi="宋体" w:cs="宋体"/>
              </w:rPr>
              <w:t xml:space="preserve">奥林清华世纪公元87幢301</w:t>
            </w:r>
          </w:p>
        </w:tc>
        <w:tc>
          <w:tcPr>
            <w:tcW w:w="1985" w:type="dxa"/>
            <w:vAlign w:val="center"/>
          </w:tcPr>
          <w:p>
            <w:pPr>
              <w:jc w:val="center"/>
              <w:rPr/>
            </w:pPr>
            <w:r>
              <w:rPr>
                <w:rFonts w:hint="eastAsia" w:ascii="宋体" w:hAnsi="宋体" w:cs="宋体"/>
              </w:rPr>
              <w:t xml:space="preserve">绿地太湖城145幢101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吴越祥庭4幢102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太阳湖大花园钻石湾别墅515幢104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奥林清华世纪公元87幢301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绿地太湖城145幢101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pn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