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苏吴地评税字(2023)吴江第00816号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新民新村</w:t>
      </w:r>
      <w:r>
        <w:rPr>
          <w:rFonts w:ascii="宋体" w:hAnsi="宋体" w:eastAsia="宋体" w:asciiTheme="minorEastAsia" w:hAnsiTheme="minorEastAsia" w:eastAsiaTheme="minorEastAsia"/>
          <w:sz w:val="24"/>
          <w:szCs w:val="24"/>
        </w:rPr>
        <w:t xml:space="preserve">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估价对象位于苏州市吴江区区域范围内的新民新村</w:t>
      </w:r>
      <w:r>
        <w:rPr>
          <w:rFonts w:hint="eastAsia" w:ascii="宋体"/>
          <w:sz w:val="24"/>
        </w:rPr>
        <w:t xml:space="preserve">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月修订版），结合估价人员现场查勘，选取新民新村</w:t>
      </w:r>
      <w:r>
        <w:rPr>
          <w:rFonts w:ascii="宋体"/>
          <w:sz w:val="24"/>
        </w:rPr>
        <w:t xml:space="preserve">9幢103室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83.34</w:t>
      </w:r>
      <w:r>
        <w:rPr>
          <w:rFonts w:hint="eastAsia" w:ascii="宋体"/>
          <w:sz w:val="24"/>
        </w:rPr>
        <w:t xml:space="preserve">平方米，南北朝向，</w:t>
      </w:r>
      <w:r>
        <w:rPr>
          <w:rFonts w:ascii="宋体"/>
          <w:sz w:val="24"/>
        </w:rPr>
        <w:t xml:space="preserve">中间户</w:t>
      </w:r>
      <w:r>
        <w:rPr>
          <w:rFonts w:ascii="宋体"/>
          <w:sz w:val="24"/>
        </w:rPr>
        <w:t xml:space="preserve">，砖混结构</w:t>
      </w:r>
      <w:r>
        <w:rPr>
          <w:rFonts w:hint="eastAsia" w:ascii="宋体"/>
          <w:sz w:val="24"/>
        </w:rPr>
        <w:t xml:space="preserve">，设计用途为成套住宅，建成于</w:t>
      </w:r>
      <w:r>
        <w:rPr>
          <w:rFonts w:ascii="宋体"/>
          <w:sz w:val="24"/>
        </w:rPr>
        <w:t xml:space="preserve">1993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2023年08月15日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2023年08月15日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柒仟贰佰零贰元整</w:t>
      </w:r>
      <w:r>
        <w:rPr>
          <w:rFonts w:hint="eastAsia" w:ascii="宋体" w:hAnsi="宋体"/>
          <w:b/>
          <w:bCs/>
          <w:sz w:val="24"/>
        </w:rPr>
        <w:t xml:space="preserve">（RMB</w:t>
      </w:r>
      <w:r>
        <w:rPr>
          <w:rFonts w:ascii="宋体" w:hAnsi="宋体"/>
          <w:b/>
          <w:bCs/>
          <w:sz w:val="24"/>
        </w:rPr>
        <w:t xml:space="preserve"> 7202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2023年08月25日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5.本报告作为整体使用时有效。若房地产市场无重大波动，本估价报告自出具日起一年内有效，从2023年08月25日</w:t>
      </w:r>
      <w:r>
        <w:rPr>
          <w:rFonts w:hint="eastAsia" w:ascii="宋体" w:hAnsi="宋体"/>
          <w:sz w:val="24"/>
        </w:rPr>
        <w:t xml:space="preserve">至</w:t>
      </w:r>
      <w:r>
        <w:rPr>
          <w:rFonts w:ascii="宋体" w:hAnsi="宋体"/>
          <w:sz w:val="24"/>
        </w:rPr>
        <w:t xml:space="preserve">2024年08月24日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新民新村</w:t>
      </w:r>
      <w:r>
        <w:rPr>
          <w:rFonts w:ascii="宋体" w:hAnsi="宋体"/>
          <w:sz w:val="24"/>
        </w:rPr>
        <w:t xml:space="preserve">9幢103室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东方中路南侧</w:t>
      </w:r>
      <w:r>
        <w:rPr>
          <w:rFonts w:hint="eastAsia" w:hAnsi="宋体"/>
          <w:sz w:val="24"/>
        </w:rPr>
        <w:t xml:space="preserve">的“</w:t>
      </w:r>
      <w:r>
        <w:rPr>
          <w:rFonts w:hint="eastAsia" w:hAnsi="宋体"/>
          <w:sz w:val="24"/>
        </w:rPr>
        <w:t xml:space="preserve">新民新村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住宅</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商业</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五龙路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东方中路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83.34</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东方中路南侧</w:t>
      </w:r>
      <w:r>
        <w:rPr>
          <w:rFonts w:hint="eastAsia" w:hAnsi="宋体"/>
          <w:sz w:val="24"/>
        </w:rPr>
        <w:t xml:space="preserve">的“新民新村</w:t>
      </w:r>
      <w:r>
        <w:rPr>
          <w:rFonts w:hint="eastAsia" w:hAnsi="宋体"/>
          <w:sz w:val="24"/>
        </w:rPr>
        <w:t xml:space="preserve">”住宅区内。该小区内的物业类型包括：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新民新村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新民新村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9幢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由于新民新村市场交易不活跃，片区内可选案例较少，因此选择的案例D，距离在3公里以外。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新民新村住宅2023年8月挂牌均价8968元/平方米，较年初持平。待评估二手房住宅近11个月（2022年10月-2023年08月）挂牌均价波动幅度较小，价格维持在8338-8968元/平方米之间。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均价说明：新民新村小区物业类型包括：普通多层,房源均价为:8968元/平方米，包含毛坯价值以及附带装修价值。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w:t>
      </w:r>
      <w:r>
        <w:rPr>
          <w:rFonts w:hint="eastAsia" w:ascii="宋体" w:hAnsi="宋体"/>
          <w:sz w:val="24"/>
        </w:rPr>
        <w:t xml:space="preserve">层住宅楼的第1层，建于1993年，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83.34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2023年08月15日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柒仟贰佰零贰元整</w:t>
      </w:r>
      <w:r>
        <w:rPr>
          <w:rFonts w:hint="eastAsia" w:ascii="宋体" w:hAnsi="宋体"/>
          <w:b/>
          <w:bCs/>
          <w:sz w:val="24"/>
        </w:rPr>
        <w:t xml:space="preserve">（RMB </w:t>
      </w:r>
      <w:r>
        <w:rPr>
          <w:rFonts w:ascii="宋体" w:hAnsi="宋体"/>
          <w:b/>
          <w:bCs/>
          <w:sz w:val="24"/>
        </w:rPr>
        <w:t xml:space="preserve">7202</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60.03</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7202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本次实地查勘期为2023年08月15日，并于当日完成现场查勘。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2023年08月15日</w:t>
      </w:r>
      <w:r>
        <w:rPr>
          <w:rFonts w:hint="eastAsia" w:ascii="宋体"/>
          <w:sz w:val="24"/>
        </w:rPr>
        <w:t xml:space="preserve">至2023年08月25日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新民新村</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五龙路东侧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五龙路东侧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附近有771路、772路、778路等多条公交线路</w:t>
      </w:r>
      <w:r>
        <w:rPr>
          <w:rFonts w:hint="eastAsia" w:hAnsi="宋体"/>
          <w:sz w:val="24"/>
        </w:rPr>
        <w:t xml:space="preserve">，</w:t>
      </w:r>
      <w:r>
        <w:rPr>
          <w:rFonts w:hAnsi="宋体"/>
          <w:sz w:val="24"/>
        </w:rPr>
        <w:t xml:space="preserve">至公交站点的距离约为290米，公交班次平均隔10分钟有一辆汽车通过。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盛泽农贸市场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新民幼儿园</w:t>
      </w:r>
      <w:r>
        <w:rPr>
          <w:rFonts w:hint="eastAsia" w:ascii="宋体" w:hAnsi="宋体" w:eastAsia="宋体" w:asciiTheme="minorEastAsia" w:hAnsiTheme="minorEastAsia" w:eastAsiaTheme="minorEastAsia"/>
          <w:sz w:val="24"/>
        </w:rPr>
        <w:t xml:space="preserve">、</w:t>
      </w:r>
      <w:r>
        <w:rPr>
          <w:rFonts w:hAnsi="宋体"/>
          <w:sz w:val="24"/>
        </w:rPr>
        <w:t xml:space="preserve">盛泽中心小学</w:t>
      </w:r>
      <w:r>
        <w:rPr>
          <w:rFonts w:hint="eastAsia" w:hAnsi="宋体"/>
          <w:sz w:val="24"/>
        </w:rPr>
        <w:t xml:space="preserve">、</w:t>
      </w:r>
      <w:r>
        <w:rPr>
          <w:rFonts w:hAnsi="宋体"/>
          <w:sz w:val="24"/>
        </w:rPr>
        <w:t xml:space="preserve">盛泽中学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住宅</w:t>
      </w:r>
      <w:r>
        <w:rPr>
          <w:rFonts w:hint="eastAsia" w:ascii="宋体" w:hAnsi="宋体"/>
          <w:sz w:val="24"/>
        </w:rPr>
        <w:t xml:space="preserve">，南至</w:t>
      </w:r>
      <w:r>
        <w:rPr>
          <w:rFonts w:ascii="宋体" w:hAnsi="宋体"/>
          <w:sz w:val="24"/>
        </w:rPr>
        <w:t xml:space="preserve">商业</w:t>
      </w:r>
      <w:r>
        <w:rPr>
          <w:rFonts w:hint="eastAsia" w:ascii="宋体" w:hAnsi="宋体"/>
          <w:sz w:val="24"/>
        </w:rPr>
        <w:t xml:space="preserve">，西至</w:t>
      </w:r>
      <w:r>
        <w:rPr>
          <w:rFonts w:ascii="宋体" w:hAnsi="宋体"/>
          <w:sz w:val="24"/>
        </w:rPr>
        <w:t xml:space="preserve">五龙路</w:t>
      </w:r>
      <w:r>
        <w:rPr>
          <w:rFonts w:hint="eastAsia" w:ascii="宋体" w:hAnsi="宋体"/>
          <w:sz w:val="24"/>
        </w:rPr>
        <w:t xml:space="preserve">，北至</w:t>
      </w:r>
      <w:r>
        <w:rPr>
          <w:rFonts w:ascii="宋体" w:hAnsi="宋体"/>
          <w:sz w:val="24"/>
        </w:rPr>
        <w:t xml:space="preserve">东方中路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估价对象为坐落于苏州市吴江区新民新村</w:t>
      </w:r>
      <w:r>
        <w:t xml:space="preserve"> </w:t>
      </w:r>
      <w:r>
        <w:rPr>
          <w:rFonts w:ascii="宋体" w:hAnsi="宋体"/>
          <w:kern w:val="2"/>
          <w:sz w:val="24"/>
        </w:rPr>
        <w:t xml:space="preserve">9幢103室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83.34</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4</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1993</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六五成新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新民新村住宅2023年8月挂牌均价8968元/平方米，较年初持平。待评估二手房住宅近11个月（2022年10月-2023年08月）挂牌均价波动幅度较小，价格维持在8338-8968元/平方米之间。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苏州市吴江区新民新村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F32050920230006368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F32050920220041953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s202302140202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w202302020005</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吴江区盛泽镇新民新村9幢103室普通多层住宅标准房基准价格评估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新华新村13幢301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新华花园9幢303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辽吴公房7幢405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石瑾新村35幢303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83.34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64.97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35.64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71.64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123.84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2023年08月15日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6926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7576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7314</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2023年07月15日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2022年10月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6926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7576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7209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7314</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1961</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2070/1961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1.056</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1.056</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备注：在价值时点2023年08月15日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229721678"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吴江区盛泽镇新民新村9幢103室普通多层住宅标准房基准价格评估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新华新村13幢301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新华花园9幢303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辽吴公房7幢405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石瑾新村35幢303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83.34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64.97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35.64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71.64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123.84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0.8813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1.0182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7314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6932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6980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7451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7447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6926</w:t>
            </w:r>
          </w:p>
        </w:tc>
        <w:tc>
          <w:tcPr>
            <w:tcW w:w="922" w:type="pct"/>
            <w:shd w:val="clear" w:color="auto" w:fill="auto"/>
            <w:vAlign w:val="center"/>
          </w:tcPr>
          <w:p>
            <w:pPr>
              <w:jc w:val="center"/>
              <w:rPr>
                <w:rFonts w:ascii="宋体" w:hAnsi="宋体" w:cs="宋体"/>
              </w:rPr>
            </w:pPr>
            <w:r>
              <w:rPr>
                <w:rFonts w:hint="eastAsia" w:ascii="宋体" w:hAnsi="宋体" w:cs="宋体"/>
              </w:rPr>
              <w:t xml:space="preserve">7576</w:t>
            </w:r>
          </w:p>
        </w:tc>
        <w:tc>
          <w:tcPr>
            <w:tcW w:w="922" w:type="pct"/>
            <w:shd w:val="clear" w:color="auto" w:fill="auto"/>
            <w:vAlign w:val="center"/>
          </w:tcPr>
          <w:p>
            <w:pPr>
              <w:jc w:val="center"/>
              <w:rPr>
                <w:rFonts w:ascii="宋体" w:hAnsi="宋体" w:cs="宋体"/>
              </w:rPr>
            </w:pPr>
            <w:r>
              <w:rPr>
                <w:rFonts w:hint="eastAsia" w:ascii="宋体" w:hAnsi="宋体" w:cs="宋体"/>
              </w:rPr>
              <w:t xml:space="preserve">7209</w:t>
            </w:r>
          </w:p>
        </w:tc>
        <w:tc>
          <w:tcPr>
            <w:tcW w:w="922" w:type="pct"/>
            <w:shd w:val="clear" w:color="auto" w:fill="auto"/>
            <w:vAlign w:val="center"/>
          </w:tcPr>
          <w:p>
            <w:pPr>
              <w:jc w:val="center"/>
              <w:rPr>
                <w:rFonts w:ascii="宋体" w:hAnsi="宋体" w:cs="宋体"/>
              </w:rPr>
            </w:pPr>
            <w:r>
              <w:rPr>
                <w:rFonts w:hint="eastAsia" w:ascii="宋体" w:hAnsi="宋体" w:cs="宋体"/>
              </w:rPr>
              <w:t xml:space="preserve">7314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1.056</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101/105.6</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101/114.6</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1.0008</w:t>
            </w:r>
          </w:p>
        </w:tc>
        <w:tc>
          <w:tcPr>
            <w:tcW w:w="922" w:type="pct"/>
            <w:shd w:val="clear" w:color="auto" w:fill="auto"/>
            <w:vAlign w:val="center"/>
          </w:tcPr>
          <w:p>
            <w:pPr>
              <w:jc w:val="center"/>
              <w:rPr>
                <w:rFonts w:ascii="宋体" w:hAnsi="宋体" w:cs="宋体"/>
              </w:rPr>
            </w:pPr>
            <w:r>
              <w:rPr>
                <w:rFonts w:hint="eastAsia" w:ascii="宋体" w:hAnsi="宋体" w:cs="宋体"/>
              </w:rPr>
              <w:t xml:space="preserve">0.9213</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1.0182</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6932</w:t>
            </w:r>
          </w:p>
        </w:tc>
        <w:tc>
          <w:tcPr>
            <w:tcW w:w="922" w:type="pct"/>
            <w:shd w:val="clear" w:color="auto" w:fill="auto"/>
            <w:vAlign w:val="center"/>
          </w:tcPr>
          <w:p>
            <w:pPr>
              <w:jc w:val="center"/>
              <w:rPr>
                <w:rFonts w:ascii="宋体" w:hAnsi="宋体" w:cs="宋体"/>
              </w:rPr>
            </w:pPr>
            <w:r>
              <w:rPr>
                <w:rFonts w:hint="eastAsia" w:ascii="宋体" w:hAnsi="宋体" w:cs="宋体"/>
              </w:rPr>
              <w:t xml:space="preserve">6980</w:t>
            </w:r>
          </w:p>
        </w:tc>
        <w:tc>
          <w:tcPr>
            <w:tcW w:w="922" w:type="pct"/>
            <w:shd w:val="clear" w:color="auto" w:fill="auto"/>
            <w:vAlign w:val="center"/>
          </w:tcPr>
          <w:p>
            <w:pPr>
              <w:jc w:val="center"/>
              <w:rPr>
                <w:rFonts w:ascii="宋体" w:hAnsi="宋体" w:cs="宋体"/>
              </w:rPr>
            </w:pPr>
            <w:r>
              <w:rPr>
                <w:rFonts w:hint="eastAsia" w:ascii="宋体" w:hAnsi="宋体" w:cs="宋体"/>
              </w:rPr>
              <w:t xml:space="preserve">7451</w:t>
            </w:r>
          </w:p>
        </w:tc>
        <w:tc>
          <w:tcPr>
            <w:tcW w:w="922" w:type="pct"/>
            <w:shd w:val="clear" w:color="auto" w:fill="auto"/>
            <w:vAlign w:val="center"/>
          </w:tcPr>
          <w:p>
            <w:pPr>
              <w:jc w:val="center"/>
              <w:rPr>
                <w:rFonts w:ascii="宋体" w:hAnsi="宋体" w:cs="宋体"/>
              </w:rPr>
            </w:pPr>
            <w:r>
              <w:rPr>
                <w:rFonts w:hint="eastAsia" w:ascii="宋体" w:hAnsi="宋体" w:cs="宋体"/>
              </w:rPr>
              <w:t xml:space="preserve">7447</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6932</w:t>
            </w:r>
          </w:p>
        </w:tc>
        <w:tc>
          <w:tcPr>
            <w:tcW w:w="922" w:type="pct"/>
            <w:shd w:val="clear" w:color="auto" w:fill="auto"/>
            <w:vAlign w:val="center"/>
          </w:tcPr>
          <w:p>
            <w:pPr>
              <w:jc w:val="center"/>
              <w:rPr>
                <w:rFonts w:ascii="宋体" w:hAnsi="宋体" w:cs="宋体"/>
              </w:rPr>
            </w:pPr>
            <w:r>
              <w:rPr>
                <w:rFonts w:hint="eastAsia" w:ascii="宋体" w:hAnsi="宋体" w:cs="宋体"/>
              </w:rPr>
              <w:t xml:space="preserve">6980</w:t>
            </w:r>
          </w:p>
        </w:tc>
        <w:tc>
          <w:tcPr>
            <w:tcW w:w="922" w:type="pct"/>
            <w:shd w:val="clear" w:color="auto" w:fill="auto"/>
            <w:vAlign w:val="center"/>
          </w:tcPr>
          <w:p>
            <w:pPr>
              <w:jc w:val="center"/>
              <w:rPr>
                <w:rFonts w:ascii="宋体" w:hAnsi="宋体" w:cs="宋体"/>
              </w:rPr>
            </w:pPr>
            <w:r>
              <w:rPr>
                <w:rFonts w:hint="eastAsia" w:ascii="宋体" w:hAnsi="宋体" w:cs="宋体"/>
              </w:rPr>
              <w:t xml:space="preserve">7451</w:t>
            </w:r>
          </w:p>
        </w:tc>
        <w:tc>
          <w:tcPr>
            <w:tcW w:w="922" w:type="pct"/>
            <w:shd w:val="clear" w:color="auto" w:fill="auto"/>
            <w:vAlign w:val="center"/>
          </w:tcPr>
          <w:p>
            <w:pPr>
              <w:jc w:val="center"/>
              <w:rPr>
                <w:rFonts w:ascii="宋体" w:hAnsi="宋体" w:cs="宋体"/>
              </w:rPr>
            </w:pPr>
            <w:r>
              <w:rPr>
                <w:rFonts w:hint="eastAsia" w:ascii="宋体" w:hAnsi="宋体" w:cs="宋体"/>
              </w:rPr>
              <w:t xml:space="preserve">7447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7202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F32050920230006368</w:t>
            </w:r>
          </w:p>
        </w:tc>
        <w:tc>
          <w:tcPr>
            <w:tcW w:w="1842" w:type="dxa"/>
            <w:vAlign w:val="center"/>
          </w:tcPr>
          <w:p>
            <w:pPr>
              <w:jc w:val="center"/>
              <w:rPr/>
            </w:pPr>
            <w:r>
              <w:rPr>
                <w:rFonts w:hint="eastAsia" w:ascii="宋体" w:hAnsi="宋体" w:cs="宋体"/>
              </w:rPr>
              <w:t xml:space="preserve">F32050920220041953</w:t>
            </w:r>
          </w:p>
        </w:tc>
        <w:tc>
          <w:tcPr>
            <w:tcW w:w="1843" w:type="dxa"/>
            <w:vAlign w:val="center"/>
          </w:tcPr>
          <w:p>
            <w:pPr>
              <w:jc w:val="center"/>
              <w:rPr/>
            </w:pPr>
            <w:r>
              <w:rPr>
                <w:rFonts w:hint="eastAsia" w:ascii="宋体" w:hAnsi="宋体" w:cs="宋体"/>
              </w:rPr>
              <w:t xml:space="preserve">s202302140202</w:t>
            </w:r>
          </w:p>
        </w:tc>
        <w:tc>
          <w:tcPr>
            <w:tcW w:w="1985" w:type="dxa"/>
            <w:vAlign w:val="center"/>
          </w:tcPr>
          <w:p>
            <w:pPr>
              <w:jc w:val="center"/>
              <w:rPr/>
            </w:pPr>
            <w:r>
              <w:rPr>
                <w:rFonts w:hint="eastAsia" w:ascii="宋体" w:hAnsi="宋体" w:cs="宋体"/>
              </w:rPr>
              <w:t xml:space="preserve">w202302020005</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新华新村13幢301</w:t>
            </w:r>
          </w:p>
        </w:tc>
        <w:tc>
          <w:tcPr>
            <w:tcW w:w="1842" w:type="dxa"/>
            <w:vAlign w:val="center"/>
          </w:tcPr>
          <w:p>
            <w:pPr>
              <w:jc w:val="center"/>
              <w:rPr/>
            </w:pPr>
            <w:r>
              <w:rPr>
                <w:rFonts w:hint="eastAsia" w:ascii="宋体" w:hAnsi="宋体" w:cs="宋体"/>
              </w:rPr>
              <w:t xml:space="preserve">新华花园9幢303</w:t>
            </w:r>
          </w:p>
        </w:tc>
        <w:tc>
          <w:tcPr>
            <w:tcW w:w="1843" w:type="dxa"/>
            <w:vAlign w:val="center"/>
          </w:tcPr>
          <w:p>
            <w:pPr>
              <w:jc w:val="center"/>
              <w:rPr/>
            </w:pPr>
            <w:r>
              <w:rPr>
                <w:rFonts w:hint="eastAsia" w:ascii="宋体" w:hAnsi="宋体" w:cs="宋体"/>
              </w:rPr>
              <w:t xml:space="preserve">辽吴公房7幢405</w:t>
            </w:r>
          </w:p>
        </w:tc>
        <w:tc>
          <w:tcPr>
            <w:tcW w:w="1985" w:type="dxa"/>
            <w:vAlign w:val="center"/>
          </w:tcPr>
          <w:p>
            <w:pPr>
              <w:jc w:val="center"/>
              <w:rPr/>
            </w:pPr>
            <w:r>
              <w:rPr>
                <w:rFonts w:hint="eastAsia" w:ascii="宋体" w:hAnsi="宋体" w:cs="宋体"/>
              </w:rPr>
              <w:t xml:space="preserve">石瑾新村35幢303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新华新村13幢301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新华花园9幢303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辽吴公房7幢405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石瑾新村35幢303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pn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