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苏吴地评税字(2023)吴江第00907号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迎春乐家</w:t>
      </w:r>
      <w:r>
        <w:rPr>
          <w:rFonts w:ascii="宋体" w:hAnsi="宋体" w:eastAsia="宋体" w:asciiTheme="minorEastAsia" w:hAnsiTheme="minorEastAsia" w:eastAsiaTheme="minorEastAsia"/>
          <w:sz w:val="24"/>
          <w:szCs w:val="24"/>
        </w:rPr>
        <w:t xml:space="preserve">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2023年10月31日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估价对象位于苏州市吴江区区域范围内的迎春乐家</w:t>
      </w:r>
      <w:r>
        <w:rPr>
          <w:rFonts w:hint="eastAsia" w:ascii="宋体"/>
          <w:sz w:val="24"/>
        </w:rPr>
        <w:t xml:space="preserve">住宅小区普通多层存量房。该小区内的物业类型包括：</w:t>
      </w:r>
      <w:r>
        <w:rPr>
          <w:rFonts w:ascii="宋体"/>
          <w:sz w:val="24"/>
        </w:rPr>
        <w:t xml:space="preserve">普通多层、高层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月修订版），结合估价人员现场查勘，选取迎春乐家</w:t>
      </w:r>
      <w:r>
        <w:rPr>
          <w:rFonts w:ascii="宋体"/>
          <w:sz w:val="24"/>
        </w:rPr>
        <w:t xml:space="preserve">4幢103室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99.09</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2015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2081年10月26日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2023年10月23日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2023年10月23日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壹万肆仟肆佰柒拾元整</w:t>
      </w:r>
      <w:r>
        <w:rPr>
          <w:rFonts w:hint="eastAsia" w:ascii="宋体" w:hAnsi="宋体"/>
          <w:b/>
          <w:bCs/>
          <w:sz w:val="24"/>
        </w:rPr>
        <w:t xml:space="preserve">（RMB</w:t>
      </w:r>
      <w:r>
        <w:rPr>
          <w:rFonts w:ascii="宋体" w:hAnsi="宋体"/>
          <w:b/>
          <w:bCs/>
          <w:sz w:val="24"/>
        </w:rPr>
        <w:t xml:space="preserve"> 14470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2023年10月31日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2023年10月31日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2023年10月31日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2023年10月31日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5.本报告作为整体使用时有效。若房地产市场无重大波动，本估价报告自出具日起一年内有效，从2023年10月31日</w:t>
      </w:r>
      <w:r>
        <w:rPr>
          <w:rFonts w:hint="eastAsia" w:ascii="宋体" w:hAnsi="宋体"/>
          <w:sz w:val="24"/>
        </w:rPr>
        <w:t xml:space="preserve">至</w:t>
      </w:r>
      <w:r>
        <w:rPr>
          <w:rFonts w:ascii="宋体" w:hAnsi="宋体"/>
          <w:sz w:val="24"/>
        </w:rPr>
        <w:t xml:space="preserve">2024年10月30日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迎春乐家</w:t>
      </w:r>
      <w:r>
        <w:rPr>
          <w:rFonts w:ascii="宋体" w:hAnsi="宋体"/>
          <w:sz w:val="24"/>
        </w:rPr>
        <w:t xml:space="preserve">4幢103室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厂区西侧</w:t>
      </w:r>
      <w:r>
        <w:rPr>
          <w:rFonts w:hint="eastAsia" w:hAnsi="宋体"/>
          <w:sz w:val="24"/>
        </w:rPr>
        <w:t xml:space="preserve">的“</w:t>
      </w:r>
      <w:r>
        <w:rPr>
          <w:rFonts w:hint="eastAsia" w:hAnsi="宋体"/>
          <w:sz w:val="24"/>
        </w:rPr>
        <w:t xml:space="preserve">迎春乐家</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厂区</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亨通路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花港路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河道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99.09</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厂区西侧</w:t>
      </w:r>
      <w:r>
        <w:rPr>
          <w:rFonts w:hint="eastAsia" w:hAnsi="宋体"/>
          <w:sz w:val="24"/>
        </w:rPr>
        <w:t xml:space="preserve">的“迎春乐家</w:t>
      </w:r>
      <w:r>
        <w:rPr>
          <w:rFonts w:hint="eastAsia" w:hAnsi="宋体"/>
          <w:sz w:val="24"/>
        </w:rPr>
        <w:t xml:space="preserve">”住宅区内。该小区内的物业类型包括：</w:t>
      </w:r>
      <w:r>
        <w:rPr>
          <w:rFonts w:hAnsi="宋体"/>
          <w:sz w:val="24"/>
        </w:rPr>
        <w:t xml:space="preserve">普通多层、高层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迎春乐家</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迎春乐家</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4幢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由于迎春乐家市场交易不活跃，片区内可选案例较少，因此选择的案例A，B，C，D，距离在3公里以外。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迎春乐家住宅2023年10月挂牌均价17571元/平方米，较年初持平。待评估二手房住宅近10个月（2023年01月-2023年10月）挂牌均价波动幅度较小，价格维持在17571-18650元/平方米之间。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均价说明：迎春乐家小区物业类型包括：普通多层、高层,房源均价为:17571元/平方米，包含毛坯价值以及附带装修价值。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w:t>
      </w:r>
      <w:r>
        <w:rPr>
          <w:rFonts w:hint="eastAsia" w:ascii="宋体" w:hAnsi="宋体"/>
          <w:sz w:val="24"/>
        </w:rPr>
        <w:t xml:space="preserve">层住宅楼的第1层，建于2015年，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99.09</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2081年10月26日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2023年10月23日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壹万肆仟肆佰柒拾元整</w:t>
      </w:r>
      <w:r>
        <w:rPr>
          <w:rFonts w:hint="eastAsia" w:ascii="宋体" w:hAnsi="宋体"/>
          <w:b/>
          <w:bCs/>
          <w:sz w:val="24"/>
        </w:rPr>
        <w:t xml:space="preserve">（RMB </w:t>
      </w:r>
      <w:r>
        <w:rPr>
          <w:rFonts w:ascii="宋体" w:hAnsi="宋体"/>
          <w:b/>
          <w:bCs/>
          <w:sz w:val="24"/>
        </w:rPr>
        <w:t xml:space="preserve">14470</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143.38</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14470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2023年10月31日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2023年10月31日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本次实地查勘期为2023年10月23日，并于当日完成现场查勘。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2023年10月23日</w:t>
      </w:r>
      <w:r>
        <w:rPr>
          <w:rFonts w:hint="eastAsia" w:ascii="宋体"/>
          <w:sz w:val="24"/>
        </w:rPr>
        <w:t xml:space="preserve">至2023年10月31日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迎春乐家</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亨通路北侧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亨通路北侧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附近有705路等多条公交线路</w:t>
      </w:r>
      <w:r>
        <w:rPr>
          <w:rFonts w:hint="eastAsia" w:hAnsi="宋体"/>
          <w:sz w:val="24"/>
        </w:rPr>
        <w:t xml:space="preserve">，</w:t>
      </w:r>
      <w:r>
        <w:rPr>
          <w:rFonts w:hAnsi="宋体"/>
          <w:sz w:val="24"/>
        </w:rPr>
        <w:t xml:space="preserve">至公交站点的距离约为300米，公交班次平均隔10分钟有一辆汽车通过。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好又多(花港路)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中国邮政储蓄银行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清树湾农贸市场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花港迎春幼儿园</w:t>
      </w:r>
      <w:r>
        <w:rPr>
          <w:rFonts w:hint="eastAsia" w:ascii="宋体" w:hAnsi="宋体" w:eastAsia="宋体" w:asciiTheme="minorEastAsia" w:hAnsiTheme="minorEastAsia" w:eastAsiaTheme="minorEastAsia"/>
          <w:sz w:val="24"/>
        </w:rPr>
        <w:t xml:space="preserve">、</w:t>
      </w:r>
      <w:r>
        <w:rPr>
          <w:rFonts w:hAnsi="宋体"/>
          <w:sz w:val="24"/>
        </w:rPr>
        <w:t xml:space="preserve">花港迎春小学</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2081年10月26日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厂区</w:t>
      </w:r>
      <w:r>
        <w:rPr>
          <w:rFonts w:hint="eastAsia" w:ascii="宋体" w:hAnsi="宋体"/>
          <w:sz w:val="24"/>
        </w:rPr>
        <w:t xml:space="preserve">，南至</w:t>
      </w:r>
      <w:r>
        <w:rPr>
          <w:rFonts w:ascii="宋体" w:hAnsi="宋体"/>
          <w:sz w:val="24"/>
        </w:rPr>
        <w:t xml:space="preserve">亨通路</w:t>
      </w:r>
      <w:r>
        <w:rPr>
          <w:rFonts w:hint="eastAsia" w:ascii="宋体" w:hAnsi="宋体"/>
          <w:sz w:val="24"/>
        </w:rPr>
        <w:t xml:space="preserve">，西至</w:t>
      </w:r>
      <w:r>
        <w:rPr>
          <w:rFonts w:ascii="宋体" w:hAnsi="宋体"/>
          <w:sz w:val="24"/>
        </w:rPr>
        <w:t xml:space="preserve">花港路</w:t>
      </w:r>
      <w:r>
        <w:rPr>
          <w:rFonts w:hint="eastAsia" w:ascii="宋体" w:hAnsi="宋体"/>
          <w:sz w:val="24"/>
        </w:rPr>
        <w:t xml:space="preserve">，北至</w:t>
      </w:r>
      <w:r>
        <w:rPr>
          <w:rFonts w:ascii="宋体" w:hAnsi="宋体"/>
          <w:sz w:val="24"/>
        </w:rPr>
        <w:t xml:space="preserve">河道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估价对象为坐落于苏州市吴江区迎春乐家</w:t>
      </w:r>
      <w:r>
        <w:t xml:space="preserve"> </w:t>
      </w:r>
      <w:r>
        <w:rPr>
          <w:rFonts w:ascii="宋体" w:hAnsi="宋体"/>
          <w:kern w:val="2"/>
          <w:sz w:val="24"/>
        </w:rPr>
        <w:t xml:space="preserve">4幢103室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99.09</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6</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2015</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迎春乐家住宅2023年10月挂牌均价17571元/平方米，较年初持平。待评估二手房住宅近10个月（2023年01月-2023年10月）挂牌均价波动幅度较小，价格维持在17571-18650元/平方米之间。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苏州市吴江区迎春乐家</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F32050920230003589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F32050920230000237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s202301060043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s202301030103</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吴江区吴江经济开发区迎春乐家4幢103室普通多层住宅标准房基准价格评估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众盛阳光嘉园53幢604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吴越岭秀6幢205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山湖嘉晖苑17幢302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九龙豪苑7幢504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73.57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94.62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13321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13567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12767</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指数，吴江区2022年10月</w:t>
      </w:r>
      <w:r>
        <w:rPr>
          <w:rFonts w:hint="eastAsia" w:ascii="宋体" w:hAnsi="宋体" w:cs="宋体"/>
          <w:sz w:val="24"/>
          <w:szCs w:val="24"/>
          <w:shd w:val="clear" w:color="auto" w:fill="FFFFFF"/>
        </w:rPr>
        <w:t xml:space="preserve">至2023年09月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2023年09月23日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13321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12682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13567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12767</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2046</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2046/1959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1.044</w:t>
            </w:r>
          </w:p>
        </w:tc>
        <w:tc>
          <w:tcPr>
            <w:tcW w:w="779" w:type="pct"/>
            <w:shd w:val="clear" w:color="auto" w:fill="FFFFFF"/>
            <w:vAlign w:val="center"/>
          </w:tcPr>
          <w:p>
            <w:pPr>
              <w:jc w:val="center"/>
              <w:rPr/>
            </w:pPr>
            <w:r>
              <w:rPr>
                <w:rFonts w:hint="eastAsia" w:ascii="宋体" w:hAnsi="宋体" w:cs="宋体"/>
              </w:rPr>
              <w:t xml:space="preserve">1.037</w:t>
            </w:r>
          </w:p>
        </w:tc>
        <w:tc>
          <w:tcPr>
            <w:tcW w:w="779" w:type="pct"/>
            <w:shd w:val="clear" w:color="auto" w:fill="FFFFFF"/>
            <w:vAlign w:val="center"/>
          </w:tcPr>
          <w:p>
            <w:pPr>
              <w:jc w:val="center"/>
              <w:rPr/>
            </w:pPr>
            <w:r>
              <w:rPr>
                <w:rFonts w:hint="eastAsia" w:ascii="宋体" w:hAnsi="宋体" w:cs="宋体"/>
              </w:rPr>
              <w:t xml:space="preserve">1.044</w:t>
            </w:r>
          </w:p>
        </w:tc>
        <w:tc>
          <w:tcPr>
            <w:tcW w:w="779" w:type="pct"/>
            <w:shd w:val="clear" w:color="auto" w:fill="FFFFFF"/>
            <w:vAlign w:val="center"/>
          </w:tcPr>
          <w:p>
            <w:pPr>
              <w:jc w:val="center"/>
              <w:rPr/>
            </w:pPr>
            <w:r>
              <w:rPr>
                <w:rFonts w:hint="eastAsia" w:ascii="宋体" w:hAnsi="宋体" w:cs="宋体"/>
              </w:rPr>
              <w:t xml:space="preserve">1.037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备注：在价值时点2023年10月23日</w:t>
      </w:r>
      <w:r>
        <w:rPr>
          <w:rFonts w:hint="eastAsia" w:ascii="宋体" w:hAnsi="宋体" w:cs="宋体"/>
          <w:sz w:val="24"/>
          <w:szCs w:val="24"/>
        </w:rPr>
        <w:t xml:space="preserve">，2023年10月</w:t>
      </w:r>
      <w:r>
        <w:rPr>
          <w:rFonts w:hint="eastAsia" w:ascii="宋体" w:hAnsi="宋体" w:cs="宋体"/>
          <w:sz w:val="24"/>
          <w:szCs w:val="24"/>
        </w:rPr>
        <w:t xml:space="preserve">份价格指数尚未公布，本次估价采用2023年09月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353761627"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吴江区吴江经济开发区迎春乐家4幢103室普通多层住宅标准房基准价格评估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众盛阳光嘉园53幢604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吴越岭秀6幢205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山湖嘉晖苑17幢302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九龙豪苑7幢504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99.09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73.57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94.62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99.97</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1.0911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1.1279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12767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15149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14400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13321</w:t>
            </w:r>
          </w:p>
        </w:tc>
        <w:tc>
          <w:tcPr>
            <w:tcW w:w="922" w:type="pct"/>
            <w:shd w:val="clear" w:color="auto" w:fill="auto"/>
            <w:vAlign w:val="center"/>
          </w:tcPr>
          <w:p>
            <w:pPr>
              <w:jc w:val="center"/>
              <w:rPr>
                <w:rFonts w:ascii="宋体" w:hAnsi="宋体" w:cs="宋体"/>
              </w:rPr>
            </w:pPr>
            <w:r>
              <w:rPr>
                <w:rFonts w:hint="eastAsia" w:ascii="宋体" w:hAnsi="宋体" w:cs="宋体"/>
              </w:rPr>
              <w:t xml:space="preserve">12682</w:t>
            </w:r>
          </w:p>
        </w:tc>
        <w:tc>
          <w:tcPr>
            <w:tcW w:w="922" w:type="pct"/>
            <w:shd w:val="clear" w:color="auto" w:fill="auto"/>
            <w:vAlign w:val="center"/>
          </w:tcPr>
          <w:p>
            <w:pPr>
              <w:jc w:val="center"/>
              <w:rPr>
                <w:rFonts w:ascii="宋体" w:hAnsi="宋体" w:cs="宋体"/>
              </w:rPr>
            </w:pPr>
            <w:r>
              <w:rPr>
                <w:rFonts w:hint="eastAsia" w:ascii="宋体" w:hAnsi="宋体" w:cs="宋体"/>
              </w:rPr>
              <w:t xml:space="preserve">13567</w:t>
            </w:r>
          </w:p>
        </w:tc>
        <w:tc>
          <w:tcPr>
            <w:tcW w:w="922" w:type="pct"/>
            <w:shd w:val="clear" w:color="auto" w:fill="auto"/>
            <w:vAlign w:val="center"/>
          </w:tcPr>
          <w:p>
            <w:pPr>
              <w:jc w:val="center"/>
              <w:rPr>
                <w:rFonts w:ascii="宋体" w:hAnsi="宋体" w:cs="宋体"/>
              </w:rPr>
            </w:pPr>
            <w:r>
              <w:rPr>
                <w:rFonts w:hint="eastAsia" w:ascii="宋体" w:hAnsi="宋体" w:cs="宋体"/>
              </w:rPr>
              <w:t xml:space="preserve">12767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109.08/106.9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109.08/100.46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109.08/99.97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1.0653</w:t>
            </w:r>
          </w:p>
        </w:tc>
        <w:tc>
          <w:tcPr>
            <w:tcW w:w="922" w:type="pct"/>
            <w:shd w:val="clear" w:color="auto" w:fill="auto"/>
            <w:vAlign w:val="center"/>
          </w:tcPr>
          <w:p>
            <w:pPr>
              <w:jc w:val="center"/>
              <w:rPr>
                <w:rFonts w:ascii="宋体" w:hAnsi="宋体" w:cs="宋体"/>
              </w:rPr>
            </w:pPr>
            <w:r>
              <w:rPr>
                <w:rFonts w:hint="eastAsia" w:ascii="宋体" w:hAnsi="宋体" w:cs="宋体"/>
              </w:rPr>
              <w:t xml:space="preserve">1.1149</w:t>
            </w:r>
          </w:p>
        </w:tc>
        <w:tc>
          <w:tcPr>
            <w:tcW w:w="922" w:type="pct"/>
            <w:shd w:val="clear" w:color="auto" w:fill="auto"/>
            <w:vAlign w:val="center"/>
          </w:tcPr>
          <w:p>
            <w:pPr>
              <w:jc w:val="center"/>
              <w:rPr>
                <w:rFonts w:ascii="宋体" w:hAnsi="宋体" w:cs="宋体"/>
              </w:rPr>
            </w:pPr>
            <w:r>
              <w:rPr>
                <w:rFonts w:hint="eastAsia" w:ascii="宋体" w:hAnsi="宋体" w:cs="宋体"/>
              </w:rPr>
              <w:t xml:space="preserve">1.1166</w:t>
            </w:r>
          </w:p>
        </w:tc>
        <w:tc>
          <w:tcPr>
            <w:tcW w:w="922" w:type="pct"/>
            <w:shd w:val="clear" w:color="auto" w:fill="auto"/>
            <w:vAlign w:val="center"/>
          </w:tcPr>
          <w:p>
            <w:pPr>
              <w:jc w:val="center"/>
              <w:rPr>
                <w:rFonts w:ascii="宋体" w:hAnsi="宋体" w:cs="宋体"/>
              </w:rPr>
            </w:pPr>
            <w:r>
              <w:rPr>
                <w:rFonts w:hint="eastAsia" w:ascii="宋体" w:hAnsi="宋体" w:cs="宋体"/>
              </w:rPr>
              <w:t xml:space="preserve">1.1279</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14191</w:t>
            </w:r>
          </w:p>
        </w:tc>
        <w:tc>
          <w:tcPr>
            <w:tcW w:w="922" w:type="pct"/>
            <w:shd w:val="clear" w:color="auto" w:fill="auto"/>
            <w:vAlign w:val="center"/>
          </w:tcPr>
          <w:p>
            <w:pPr>
              <w:jc w:val="center"/>
              <w:rPr>
                <w:rFonts w:ascii="宋体" w:hAnsi="宋体" w:cs="宋体"/>
              </w:rPr>
            </w:pPr>
            <w:r>
              <w:rPr>
                <w:rFonts w:hint="eastAsia" w:ascii="宋体" w:hAnsi="宋体" w:cs="宋体"/>
              </w:rPr>
              <w:t xml:space="preserve">14139</w:t>
            </w:r>
          </w:p>
        </w:tc>
        <w:tc>
          <w:tcPr>
            <w:tcW w:w="922" w:type="pct"/>
            <w:shd w:val="clear" w:color="auto" w:fill="auto"/>
            <w:vAlign w:val="center"/>
          </w:tcPr>
          <w:p>
            <w:pPr>
              <w:jc w:val="center"/>
              <w:rPr>
                <w:rFonts w:ascii="宋体" w:hAnsi="宋体" w:cs="宋体"/>
              </w:rPr>
            </w:pPr>
            <w:r>
              <w:rPr>
                <w:rFonts w:hint="eastAsia" w:ascii="宋体" w:hAnsi="宋体" w:cs="宋体"/>
              </w:rPr>
              <w:t xml:space="preserve">15149</w:t>
            </w:r>
          </w:p>
        </w:tc>
        <w:tc>
          <w:tcPr>
            <w:tcW w:w="922" w:type="pct"/>
            <w:shd w:val="clear" w:color="auto" w:fill="auto"/>
            <w:vAlign w:val="center"/>
          </w:tcPr>
          <w:p>
            <w:pPr>
              <w:jc w:val="center"/>
              <w:rPr>
                <w:rFonts w:ascii="宋体" w:hAnsi="宋体" w:cs="宋体"/>
              </w:rPr>
            </w:pPr>
            <w:r>
              <w:rPr>
                <w:rFonts w:hint="eastAsia" w:ascii="宋体" w:hAnsi="宋体" w:cs="宋体"/>
              </w:rPr>
              <w:t xml:space="preserve">14400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14191</w:t>
            </w:r>
          </w:p>
        </w:tc>
        <w:tc>
          <w:tcPr>
            <w:tcW w:w="922" w:type="pct"/>
            <w:shd w:val="clear" w:color="auto" w:fill="auto"/>
            <w:vAlign w:val="center"/>
          </w:tcPr>
          <w:p>
            <w:pPr>
              <w:jc w:val="center"/>
              <w:rPr>
                <w:rFonts w:ascii="宋体" w:hAnsi="宋体" w:cs="宋体"/>
              </w:rPr>
            </w:pPr>
            <w:r>
              <w:rPr>
                <w:rFonts w:hint="eastAsia" w:ascii="宋体" w:hAnsi="宋体" w:cs="宋体"/>
              </w:rPr>
              <w:t xml:space="preserve">14139</w:t>
            </w:r>
          </w:p>
        </w:tc>
        <w:tc>
          <w:tcPr>
            <w:tcW w:w="922" w:type="pct"/>
            <w:shd w:val="clear" w:color="auto" w:fill="auto"/>
            <w:vAlign w:val="center"/>
          </w:tcPr>
          <w:p>
            <w:pPr>
              <w:jc w:val="center"/>
              <w:rPr>
                <w:rFonts w:ascii="宋体" w:hAnsi="宋体" w:cs="宋体"/>
              </w:rPr>
            </w:pPr>
            <w:r>
              <w:rPr>
                <w:rFonts w:hint="eastAsia" w:ascii="宋体" w:hAnsi="宋体" w:cs="宋体"/>
              </w:rPr>
              <w:t xml:space="preserve">15149</w:t>
            </w:r>
          </w:p>
        </w:tc>
        <w:tc>
          <w:tcPr>
            <w:tcW w:w="922" w:type="pct"/>
            <w:shd w:val="clear" w:color="auto" w:fill="auto"/>
            <w:vAlign w:val="center"/>
          </w:tcPr>
          <w:p>
            <w:pPr>
              <w:jc w:val="center"/>
              <w:rPr>
                <w:rFonts w:ascii="宋体" w:hAnsi="宋体" w:cs="宋体"/>
              </w:rPr>
            </w:pPr>
            <w:r>
              <w:rPr>
                <w:rFonts w:hint="eastAsia" w:ascii="宋体" w:hAnsi="宋体" w:cs="宋体"/>
              </w:rPr>
              <w:t xml:space="preserve">14400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14470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F32050920230003589</w:t>
            </w:r>
          </w:p>
        </w:tc>
        <w:tc>
          <w:tcPr>
            <w:tcW w:w="1842" w:type="dxa"/>
            <w:vAlign w:val="center"/>
          </w:tcPr>
          <w:p>
            <w:pPr>
              <w:jc w:val="center"/>
              <w:rPr/>
            </w:pPr>
            <w:r>
              <w:rPr>
                <w:rFonts w:hint="eastAsia" w:ascii="宋体" w:hAnsi="宋体" w:cs="宋体"/>
              </w:rPr>
              <w:t xml:space="preserve">F32050920230000237</w:t>
            </w:r>
          </w:p>
        </w:tc>
        <w:tc>
          <w:tcPr>
            <w:tcW w:w="1843" w:type="dxa"/>
            <w:vAlign w:val="center"/>
          </w:tcPr>
          <w:p>
            <w:pPr>
              <w:jc w:val="center"/>
              <w:rPr/>
            </w:pPr>
            <w:r>
              <w:rPr>
                <w:rFonts w:hint="eastAsia" w:ascii="宋体" w:hAnsi="宋体" w:cs="宋体"/>
              </w:rPr>
              <w:t xml:space="preserve">s202301060043</w:t>
            </w:r>
          </w:p>
        </w:tc>
        <w:tc>
          <w:tcPr>
            <w:tcW w:w="1985" w:type="dxa"/>
            <w:vAlign w:val="center"/>
          </w:tcPr>
          <w:p>
            <w:pPr>
              <w:jc w:val="center"/>
              <w:rPr/>
            </w:pPr>
            <w:r>
              <w:rPr>
                <w:rFonts w:hint="eastAsia" w:ascii="宋体" w:hAnsi="宋体" w:cs="宋体"/>
              </w:rPr>
              <w:t xml:space="preserve">s202301030103</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众盛阳光嘉园53幢604</w:t>
            </w:r>
          </w:p>
        </w:tc>
        <w:tc>
          <w:tcPr>
            <w:tcW w:w="1842" w:type="dxa"/>
            <w:vAlign w:val="center"/>
          </w:tcPr>
          <w:p>
            <w:pPr>
              <w:jc w:val="center"/>
              <w:rPr/>
            </w:pPr>
            <w:r>
              <w:rPr>
                <w:rFonts w:hint="eastAsia" w:ascii="宋体" w:hAnsi="宋体" w:cs="宋体"/>
              </w:rPr>
              <w:t xml:space="preserve">吴越岭秀6幢205</w:t>
            </w:r>
          </w:p>
        </w:tc>
        <w:tc>
          <w:tcPr>
            <w:tcW w:w="1843" w:type="dxa"/>
            <w:vAlign w:val="center"/>
          </w:tcPr>
          <w:p>
            <w:pPr>
              <w:jc w:val="center"/>
              <w:rPr/>
            </w:pPr>
            <w:r>
              <w:rPr>
                <w:rFonts w:hint="eastAsia" w:ascii="宋体" w:hAnsi="宋体" w:cs="宋体"/>
              </w:rPr>
              <w:t xml:space="preserve">山湖嘉晖苑17幢302</w:t>
            </w:r>
          </w:p>
        </w:tc>
        <w:tc>
          <w:tcPr>
            <w:tcW w:w="1985" w:type="dxa"/>
            <w:vAlign w:val="center"/>
          </w:tcPr>
          <w:p>
            <w:pPr>
              <w:jc w:val="center"/>
              <w:rPr/>
            </w:pPr>
            <w:r>
              <w:rPr>
                <w:rFonts w:hint="eastAsia" w:ascii="宋体" w:hAnsi="宋体" w:cs="宋体"/>
              </w:rPr>
              <w:t xml:space="preserve">九龙豪苑7幢504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众盛阳光嘉园53幢604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吴越岭秀6幢205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山湖嘉晖苑17幢302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九龙豪苑7幢504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pn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