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苏吴地评税字(2023)吴江第00946号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滨湖绿郡电梯多层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2023年11月16日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估价对象位于苏州市吴江区区域范围内的滨湖绿郡住宅小区电梯多层存量房。该小区内的物业类型包括：</w:t>
      </w:r>
      <w:r>
        <w:rPr>
          <w:rFonts w:ascii="宋体"/>
          <w:sz w:val="24"/>
        </w:rPr>
        <w:t xml:space="preserve">高层、小高层、电梯多层、联排、叠加</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月修订版），结合估价人员现场查勘，选取滨湖绿郡</w:t>
      </w:r>
      <w:r>
        <w:rPr>
          <w:rFonts w:ascii="宋体"/>
          <w:sz w:val="24"/>
        </w:rPr>
        <w:t xml:space="preserve">1幢102室</w:t>
      </w:r>
      <w:r>
        <w:rPr>
          <w:rFonts w:hint="eastAsia" w:ascii="宋体"/>
          <w:sz w:val="24"/>
        </w:rPr>
        <w:t xml:space="preserve">为该小区</w:t>
      </w:r>
      <w:r>
        <w:rPr>
          <w:rFonts w:ascii="宋体"/>
          <w:sz w:val="24"/>
        </w:rPr>
        <w:t xml:space="preserve">钢混结构</w:t>
      </w:r>
      <w:r>
        <w:rPr>
          <w:rFonts w:hint="eastAsia" w:ascii="宋体"/>
          <w:sz w:val="24"/>
        </w:rPr>
        <w:t xml:space="preserve">电梯多层的标准样本房，所在楼层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7</w:t>
      </w:r>
      <w:r>
        <w:rPr>
          <w:rFonts w:hint="eastAsia" w:ascii="宋体"/>
          <w:sz w:val="24"/>
        </w:rPr>
        <w:t xml:space="preserve">层，建筑面积</w:t>
      </w:r>
      <w:r>
        <w:rPr>
          <w:rFonts w:ascii="宋体"/>
          <w:sz w:val="24"/>
        </w:rPr>
        <w:t xml:space="preserve">139.97</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2084年05月20日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贰万零叁佰玖拾壹元整</w:t>
      </w:r>
      <w:r>
        <w:rPr>
          <w:rFonts w:hint="eastAsia" w:ascii="宋体" w:hAnsi="宋体"/>
          <w:b/>
          <w:bCs/>
          <w:sz w:val="24"/>
        </w:rPr>
        <w:t xml:space="preserve">（RMB</w:t>
      </w:r>
      <w:r>
        <w:rPr>
          <w:rFonts w:ascii="宋体" w:hAnsi="宋体"/>
          <w:b/>
          <w:bCs/>
          <w:sz w:val="24"/>
        </w:rPr>
        <w:t xml:space="preserve"> 20391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2023年11月16日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3" name="_x0000_s0050"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50"/>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2023年11月16日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4" name="_x0000_s005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51"/>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68" style="height:20pt;width:80pt" o:spid="_x0000_i0076"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70" style="height:20pt;width:80pt" o:spid="_x0000_i0077"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2023年11月16日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5.本报告作为整体使用时有效。若房地产市场无重大波动，本估价报告自出具日起一年内有效，从2023年11月16日至</w:t>
      </w:r>
      <w:r>
        <w:rPr>
          <w:rFonts w:ascii="宋体" w:hAnsi="宋体"/>
          <w:sz w:val="24"/>
        </w:rPr>
        <w:t xml:space="preserve">2024年11月15日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估价对象为滨湖绿郡</w:t>
      </w:r>
      <w:r>
        <w:rPr>
          <w:rFonts w:ascii="宋体" w:hAnsi="宋体"/>
          <w:sz w:val="24"/>
        </w:rPr>
        <w:t xml:space="preserve">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渔港路西侧</w:t>
      </w:r>
      <w:r>
        <w:rPr>
          <w:rFonts w:hint="eastAsia" w:hAnsi="宋体"/>
          <w:sz w:val="24"/>
        </w:rPr>
        <w:t xml:space="preserve">的“滨湖绿郡”住宅区内。</w:t>
      </w:r>
      <w:r>
        <w:rPr>
          <w:rFonts w:hint="eastAsia" w:ascii="宋体" w:hAnsi="宋体"/>
          <w:sz w:val="24"/>
        </w:rPr>
        <w:t xml:space="preserve">估价对象东至</w:t>
      </w:r>
      <w:r>
        <w:rPr>
          <w:rFonts w:ascii="宋体" w:hAnsi="宋体"/>
          <w:sz w:val="24"/>
          <w:szCs w:val="24"/>
        </w:rPr>
        <w:t xml:space="preserve">渔港路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河流</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松陵大道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芦荡路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139.97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渔港路西侧</w:t>
      </w:r>
      <w:r>
        <w:rPr>
          <w:rFonts w:hint="eastAsia" w:hAnsi="宋体"/>
          <w:sz w:val="24"/>
        </w:rPr>
        <w:t xml:space="preserve">的“滨湖绿郡”住宅区内。该小区内的物业类型包括：</w:t>
      </w:r>
      <w:r>
        <w:rPr>
          <w:rFonts w:hAnsi="宋体"/>
          <w:sz w:val="24"/>
        </w:rPr>
        <w:t xml:space="preserve">高层、小高层、电梯多层、联排、叠加</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54" style="height:220pt;width:220pt" o:spid="_x0000_i0078"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55" style="height:130pt;width:130pt" o:spid="_x0000_i0079"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滨湖绿郡</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56" style="height:2in;width:2in" o:spid="_x0000_i0080"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“滨湖绿郡”小区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由于滨湖绿郡市场交易不活跃，片区内可选案例较少，因此选择的案例A，B，C，D，距离在3公里以外。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滨湖绿郡住宅2023年11月挂牌均价23913元/平方米，较年初持平。待评估二手房住宅近12个月（2022年12月-2023年11月）挂牌均价波动幅度较小，价格维持在23913-24814元/平方米之间。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均价说明：滨湖绿郡小区物业类型包括：高层、小高层、电梯多层、联排、叠加,房源均价为:23913元/平方米，包含毛坯价值以及附带装修价值。</w:t>
      </w:r>
    </w:p>
    <w:p>
      <w:pPr>
        <w:pStyle w:val="PlainText"/>
        <w:spacing w:line="540" w:lineRule="atLeast"/>
        <w:jc w:val="center"/>
      </w:pPr>
      <w:r>
        <w:pict>
          <v:shape id="_x0000_i0058" style="height:209pt;width:312pt" o:spid="_x0000_i0081"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该房屋为7层住宅楼的第1层，建于2016年，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139.97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2084年05月20日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贰万零叁佰玖拾壹元整</w:t>
      </w:r>
      <w:r>
        <w:rPr>
          <w:rFonts w:hint="eastAsia" w:ascii="宋体" w:hAnsi="宋体"/>
          <w:b/>
          <w:bCs/>
          <w:sz w:val="24"/>
        </w:rPr>
        <w:t xml:space="preserve">（RMB </w:t>
      </w:r>
      <w:r>
        <w:rPr>
          <w:rFonts w:ascii="宋体" w:hAnsi="宋体"/>
          <w:b/>
          <w:bCs/>
          <w:sz w:val="24"/>
        </w:rPr>
        <w:t xml:space="preserve">20391</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285.41</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20391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69" style="height:20pt;width:80pt" o:spid="_x0000_i0082"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2023年11月16日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71" style="height:20pt;width:80pt" o:spid="_x0000_i0083"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2023年11月16日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2023年11月08日</w:t>
      </w:r>
      <w:r>
        <w:rPr>
          <w:rFonts w:hint="eastAsia" w:ascii="宋体"/>
          <w:sz w:val="24"/>
        </w:rPr>
        <w:t xml:space="preserve">至2023年11月16日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估价对象为苏州市吴江区“滨湖绿郡”住宅区内的</w:t>
      </w:r>
      <w:r>
        <w:rPr>
          <w:rFonts w:hAnsi="宋体"/>
          <w:sz w:val="24"/>
        </w:rPr>
        <w:t xml:space="preserve">电梯多层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松陵大道东侧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松陵大道东侧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附近有719路、722路、741路、702路、712路、718路公交线路</w:t>
      </w:r>
      <w:r>
        <w:rPr>
          <w:rFonts w:hint="eastAsia" w:hAnsi="宋体"/>
          <w:sz w:val="24"/>
        </w:rPr>
        <w:t xml:space="preserve">，</w:t>
      </w:r>
      <w:r>
        <w:rPr>
          <w:rFonts w:hAnsi="宋体"/>
          <w:sz w:val="24"/>
        </w:rPr>
        <w:t xml:space="preserve">至公交站点的距离约为300米，公交班次平均隔10分钟有一辆汽车通过。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建设银行、江苏银行、民生银行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北外附属苏州外国语学校</w:t>
      </w:r>
      <w:r>
        <w:rPr>
          <w:rFonts w:hint="eastAsia" w:ascii="宋体" w:hAnsi="宋体" w:eastAsia="宋体" w:asciiTheme="minorEastAsia" w:hAnsiTheme="minorEastAsia" w:eastAsiaTheme="minorEastAsia"/>
          <w:sz w:val="24"/>
        </w:rPr>
        <w:t xml:space="preserve">、</w:t>
      </w:r>
      <w:r>
        <w:rPr>
          <w:rFonts w:hAnsi="宋体"/>
          <w:sz w:val="24"/>
        </w:rPr>
        <w:t xml:space="preserve">东太湖实验小学</w:t>
      </w:r>
      <w:r>
        <w:rPr>
          <w:rFonts w:hint="eastAsia" w:hAnsi="宋体"/>
          <w:sz w:val="24"/>
        </w:rPr>
        <w:t xml:space="preserve">、</w:t>
      </w:r>
      <w:r>
        <w:rPr>
          <w:rFonts w:hAnsi="宋体"/>
          <w:sz w:val="24"/>
        </w:rPr>
        <w:t xml:space="preserve">江苏震泽中学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2084年05月20日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渔港路</w:t>
      </w:r>
      <w:r>
        <w:rPr>
          <w:rFonts w:hint="eastAsia" w:ascii="宋体" w:hAnsi="宋体"/>
          <w:sz w:val="24"/>
        </w:rPr>
        <w:t xml:space="preserve">，南至</w:t>
      </w:r>
      <w:r>
        <w:rPr>
          <w:rFonts w:ascii="宋体" w:hAnsi="宋体"/>
          <w:sz w:val="24"/>
        </w:rPr>
        <w:t xml:space="preserve">河流</w:t>
      </w:r>
      <w:r>
        <w:rPr>
          <w:rFonts w:hint="eastAsia" w:ascii="宋体" w:hAnsi="宋体"/>
          <w:sz w:val="24"/>
        </w:rPr>
        <w:t xml:space="preserve">，西至</w:t>
      </w:r>
      <w:r>
        <w:rPr>
          <w:rFonts w:ascii="宋体" w:hAnsi="宋体"/>
          <w:sz w:val="24"/>
        </w:rPr>
        <w:t xml:space="preserve">松陵大道</w:t>
      </w:r>
      <w:r>
        <w:rPr>
          <w:rFonts w:hint="eastAsia" w:ascii="宋体" w:hAnsi="宋体"/>
          <w:sz w:val="24"/>
        </w:rPr>
        <w:t xml:space="preserve">，北至</w:t>
      </w:r>
      <w:r>
        <w:rPr>
          <w:rFonts w:ascii="宋体" w:hAnsi="宋体"/>
          <w:sz w:val="24"/>
        </w:rPr>
        <w:t xml:space="preserve">芦荡路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估价对象为坐落于苏州市吴江区滨湖绿郡</w:t>
      </w:r>
      <w:r>
        <w:t xml:space="preserve"> </w:t>
      </w:r>
      <w:r>
        <w:rPr>
          <w:rFonts w:ascii="宋体" w:hAnsi="宋体"/>
          <w:kern w:val="2"/>
          <w:sz w:val="24"/>
        </w:rPr>
        <w:t xml:space="preserve">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估价对象为电梯多层建筑，建筑面积为</w:t>
      </w:r>
      <w:r>
        <w:rPr>
          <w:rFonts w:hAnsi="宋体"/>
          <w:sz w:val="24"/>
        </w:rPr>
        <w:t xml:space="preserve">139.97</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3层数、层高：估价对象位于总楼层为7层的第1层，层高约2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估价对象建成于2016年，基础较为稳固，未见沉降；墙面、地面、门窗等保养完好，综合保养成新度为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滨湖绿郡住宅2023年11月挂牌均价23913元/平方米，较年初持平。待评估二手房住宅近12个月（2022年12月-2023年11月）挂牌均价波动幅度较小，价格维持在23913-24814元/平方米之间。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57" style="height:190pt;width:240pt" o:spid="_x0000_i0084"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59" style="height:209pt;width:312pt" o:spid="_x0000_i0085"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苏州市吴江区滨湖绿郡</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F32050920230001246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F32050920230013375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s202301030119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F32050920220013378</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吴江区松陵镇滨湖绿郡1幢102室电梯多层住宅标准房基准价格评估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璀璨四季花园20幢603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璀璨四季花园24幢102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19071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20465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2023年10月08日</w:t>
            </w:r>
          </w:p>
        </w:tc>
        <w:tc>
          <w:tcPr>
            <w:tcW w:w="778" w:type="pct"/>
            <w:shd w:val="clear" w:color="auto" w:fill="FFFFFF"/>
            <w:vAlign w:val="center"/>
          </w:tcPr>
          <w:p>
            <w:pPr>
              <w:jc w:val="center"/>
            </w:pPr>
            <w:r>
              <w:rPr>
                <w:rFonts w:hint="eastAsia" w:ascii="宋体" w:hAnsi="宋体" w:cs="宋体"/>
              </w:rPr>
              <w:t xml:space="preserve">2022年12月</w:t>
            </w:r>
          </w:p>
        </w:tc>
        <w:tc>
          <w:tcPr>
            <w:tcW w:w="779" w:type="pct"/>
            <w:shd w:val="clear" w:color="auto" w:fill="FFFFFF"/>
            <w:vAlign w:val="center"/>
          </w:tcPr>
          <w:p>
            <w:pPr>
              <w:jc w:val="center"/>
            </w:pPr>
            <w:r>
              <w:rPr>
                <w:rFonts w:hint="eastAsia" w:ascii="宋体" w:hAnsi="宋体" w:cs="宋体"/>
              </w:rPr>
              <w:t xml:space="preserve">2023年04月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2022年12月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20239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20239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1935</w:t>
            </w:r>
          </w:p>
        </w:tc>
        <w:tc>
          <w:tcPr>
            <w:tcW w:w="779" w:type="pct"/>
            <w:shd w:val="clear" w:color="auto" w:fill="FFFFFF"/>
            <w:vAlign w:val="center"/>
          </w:tcPr>
          <w:p>
            <w:pPr>
              <w:jc w:val="center"/>
            </w:pPr>
            <w:r>
              <w:rPr>
                <w:rFonts w:hint="eastAsia" w:ascii="宋体" w:hAnsi="宋体" w:cs="宋体"/>
              </w:rPr>
              <w:t xml:space="preserve">2011</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1935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2046/2011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2046/1935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1.057</w:t>
            </w:r>
          </w:p>
        </w:tc>
        <w:tc>
          <w:tcPr>
            <w:tcW w:w="779" w:type="pct"/>
            <w:shd w:val="clear" w:color="auto" w:fill="FFFFFF"/>
            <w:vAlign w:val="center"/>
          </w:tcPr>
          <w:p>
            <w:pPr>
              <w:jc w:val="center"/>
            </w:pPr>
            <w:r>
              <w:rPr>
                <w:rFonts w:hint="eastAsia" w:ascii="宋体" w:hAnsi="宋体" w:cs="宋体"/>
              </w:rPr>
              <w:t xml:space="preserve">1.017</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1.017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备注：在价值时点2023年11月08日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52" style="height:28.5pt;width:79.5pt" coordsize="21600,21600" o:spid="_x0000_i0086"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52" DrawAspect="Content" ObjectID="_194797801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吴江区松陵镇滨湖绿郡1幢102室电梯多层住宅标准房基准价格评估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璀璨四季花园20幢603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璀璨四季花园24幢102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1.0466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20239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20239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20465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21087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18529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20828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21119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20239</w:t>
            </w:r>
          </w:p>
        </w:tc>
        <w:tc>
          <w:tcPr>
            <w:tcW w:w="922" w:type="pct"/>
            <w:shd w:val="clear" w:color="auto" w:fill="auto"/>
            <w:vAlign w:val="center"/>
          </w:tcPr>
          <w:p>
            <w:pPr>
              <w:jc w:val="center"/>
              <w:rPr>
                <w:rFonts w:ascii="宋体" w:hAnsi="宋体" w:cs="宋体"/>
              </w:rPr>
            </w:pPr>
            <w:r>
              <w:rPr>
                <w:rFonts w:hint="eastAsia" w:ascii="宋体" w:hAnsi="宋体" w:cs="宋体"/>
              </w:rPr>
              <w:t xml:space="preserve">19071</w:t>
            </w:r>
          </w:p>
        </w:tc>
        <w:tc>
          <w:tcPr>
            <w:tcW w:w="922" w:type="pct"/>
            <w:shd w:val="clear" w:color="auto" w:fill="auto"/>
            <w:vAlign w:val="center"/>
          </w:tcPr>
          <w:p>
            <w:pPr>
              <w:jc w:val="center"/>
              <w:rPr>
                <w:rFonts w:ascii="宋体" w:hAnsi="宋体" w:cs="宋体"/>
              </w:rPr>
            </w:pPr>
            <w:r>
              <w:rPr>
                <w:rFonts w:hint="eastAsia" w:ascii="宋体" w:hAnsi="宋体" w:cs="宋体"/>
              </w:rPr>
              <w:t xml:space="preserve">20239</w:t>
            </w:r>
          </w:p>
        </w:tc>
        <w:tc>
          <w:tcPr>
            <w:tcW w:w="922" w:type="pct"/>
            <w:shd w:val="clear" w:color="auto" w:fill="auto"/>
            <w:vAlign w:val="center"/>
          </w:tcPr>
          <w:p>
            <w:pPr>
              <w:jc w:val="center"/>
              <w:rPr>
                <w:rFonts w:ascii="宋体" w:hAnsi="宋体" w:cs="宋体"/>
              </w:rPr>
            </w:pPr>
            <w:r>
              <w:rPr>
                <w:rFonts w:hint="eastAsia" w:ascii="宋体" w:hAnsi="宋体" w:cs="宋体"/>
              </w:rPr>
              <w:t xml:space="preserve">20465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0.9873</w:t>
            </w:r>
          </w:p>
        </w:tc>
        <w:tc>
          <w:tcPr>
            <w:tcW w:w="922" w:type="pct"/>
            <w:shd w:val="clear" w:color="auto" w:fill="auto"/>
            <w:vAlign w:val="center"/>
          </w:tcPr>
          <w:p>
            <w:pPr>
              <w:jc w:val="center"/>
              <w:rPr>
                <w:rFonts w:ascii="宋体" w:hAnsi="宋体" w:cs="宋体"/>
              </w:rPr>
            </w:pPr>
            <w:r>
              <w:rPr>
                <w:rFonts w:hint="eastAsia" w:ascii="宋体" w:hAnsi="宋体" w:cs="宋体"/>
              </w:rPr>
              <w:t xml:space="preserve">1.0291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1.0466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21087</w:t>
            </w:r>
          </w:p>
        </w:tc>
        <w:tc>
          <w:tcPr>
            <w:tcW w:w="922" w:type="pct"/>
            <w:shd w:val="clear" w:color="auto" w:fill="auto"/>
            <w:vAlign w:val="center"/>
          </w:tcPr>
          <w:p>
            <w:pPr>
              <w:jc w:val="center"/>
              <w:rPr>
                <w:rFonts w:ascii="宋体" w:hAnsi="宋体" w:cs="宋体"/>
              </w:rPr>
            </w:pPr>
            <w:r>
              <w:rPr>
                <w:rFonts w:hint="eastAsia" w:ascii="宋体" w:hAnsi="宋体" w:cs="宋体"/>
              </w:rPr>
              <w:t xml:space="preserve">18829</w:t>
            </w:r>
          </w:p>
        </w:tc>
        <w:tc>
          <w:tcPr>
            <w:tcW w:w="922" w:type="pct"/>
            <w:shd w:val="clear" w:color="auto" w:fill="auto"/>
            <w:vAlign w:val="center"/>
          </w:tcPr>
          <w:p>
            <w:pPr>
              <w:jc w:val="center"/>
              <w:rPr>
                <w:rFonts w:ascii="宋体" w:hAnsi="宋体" w:cs="宋体"/>
              </w:rPr>
            </w:pPr>
            <w:r>
              <w:rPr>
                <w:rFonts w:hint="eastAsia" w:ascii="宋体" w:hAnsi="宋体" w:cs="宋体"/>
              </w:rPr>
              <w:t xml:space="preserve">20828</w:t>
            </w:r>
          </w:p>
        </w:tc>
        <w:tc>
          <w:tcPr>
            <w:tcW w:w="922" w:type="pct"/>
            <w:shd w:val="clear" w:color="auto" w:fill="auto"/>
            <w:vAlign w:val="center"/>
          </w:tcPr>
          <w:p>
            <w:pPr>
              <w:jc w:val="center"/>
              <w:rPr>
                <w:rFonts w:ascii="宋体" w:hAnsi="宋体" w:cs="宋体"/>
              </w:rPr>
            </w:pPr>
            <w:r>
              <w:rPr>
                <w:rFonts w:hint="eastAsia" w:ascii="宋体" w:hAnsi="宋体" w:cs="宋体"/>
              </w:rPr>
              <w:t xml:space="preserve">21419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21087</w:t>
            </w:r>
          </w:p>
        </w:tc>
        <w:tc>
          <w:tcPr>
            <w:tcW w:w="922" w:type="pct"/>
            <w:shd w:val="clear" w:color="auto" w:fill="auto"/>
            <w:vAlign w:val="center"/>
          </w:tcPr>
          <w:p>
            <w:pPr>
              <w:jc w:val="center"/>
              <w:rPr>
                <w:rFonts w:ascii="宋体" w:hAnsi="宋体" w:cs="宋体"/>
              </w:rPr>
            </w:pPr>
            <w:r>
              <w:rPr>
                <w:rFonts w:hint="eastAsia" w:ascii="宋体" w:hAnsi="宋体" w:cs="宋体"/>
              </w:rPr>
              <w:t xml:space="preserve">18529</w:t>
            </w:r>
          </w:p>
        </w:tc>
        <w:tc>
          <w:tcPr>
            <w:tcW w:w="922" w:type="pct"/>
            <w:shd w:val="clear" w:color="auto" w:fill="auto"/>
            <w:vAlign w:val="center"/>
          </w:tcPr>
          <w:p>
            <w:pPr>
              <w:jc w:val="center"/>
              <w:rPr>
                <w:rFonts w:ascii="宋体" w:hAnsi="宋体" w:cs="宋体"/>
              </w:rPr>
            </w:pPr>
            <w:r>
              <w:rPr>
                <w:rFonts w:hint="eastAsia" w:ascii="宋体" w:hAnsi="宋体" w:cs="宋体"/>
              </w:rPr>
              <w:t xml:space="preserve">20828</w:t>
            </w:r>
          </w:p>
        </w:tc>
        <w:tc>
          <w:tcPr>
            <w:tcW w:w="922" w:type="pct"/>
            <w:shd w:val="clear" w:color="auto" w:fill="auto"/>
            <w:vAlign w:val="center"/>
          </w:tcPr>
          <w:p>
            <w:pPr>
              <w:jc w:val="center"/>
              <w:rPr>
                <w:rFonts w:ascii="宋体" w:hAnsi="宋体" w:cs="宋体"/>
              </w:rPr>
            </w:pPr>
            <w:r>
              <w:rPr>
                <w:rFonts w:hint="eastAsia" w:ascii="宋体" w:hAnsi="宋体" w:cs="宋体"/>
              </w:rPr>
              <w:t xml:space="preserve">21119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20391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F32050920230001246</w:t>
            </w:r>
          </w:p>
        </w:tc>
        <w:tc>
          <w:tcPr>
            <w:tcW w:w="1842" w:type="dxa"/>
            <w:vAlign w:val="center"/>
          </w:tcPr>
          <w:p>
            <w:pPr>
              <w:jc w:val="center"/>
            </w:pPr>
            <w:r>
              <w:rPr>
                <w:rFonts w:hint="eastAsia" w:ascii="宋体" w:hAnsi="宋体" w:cs="宋体"/>
              </w:rPr>
              <w:t xml:space="preserve">F32050920230013375</w:t>
            </w:r>
          </w:p>
        </w:tc>
        <w:tc>
          <w:tcPr>
            <w:tcW w:w="1843" w:type="dxa"/>
            <w:vAlign w:val="center"/>
          </w:tcPr>
          <w:p>
            <w:pPr>
              <w:jc w:val="center"/>
            </w:pPr>
            <w:r>
              <w:rPr>
                <w:rFonts w:hint="eastAsia" w:ascii="宋体" w:hAnsi="宋体" w:cs="宋体"/>
              </w:rPr>
              <w:t xml:space="preserve">s202301030119</w:t>
            </w:r>
          </w:p>
        </w:tc>
        <w:tc>
          <w:tcPr>
            <w:tcW w:w="1985" w:type="dxa"/>
            <w:vAlign w:val="center"/>
          </w:tcPr>
          <w:p>
            <w:pPr>
              <w:jc w:val="center"/>
            </w:pPr>
            <w:r>
              <w:rPr>
                <w:rFonts w:hint="eastAsia" w:ascii="宋体" w:hAnsi="宋体" w:cs="宋体"/>
              </w:rPr>
              <w:t xml:space="preserve">F32050920220013378</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吴越岭秀15幢703</w:t>
            </w:r>
          </w:p>
        </w:tc>
        <w:tc>
          <w:tcPr>
            <w:tcW w:w="1842" w:type="dxa"/>
            <w:vAlign w:val="center"/>
          </w:tcPr>
          <w:p>
            <w:pPr>
              <w:jc w:val="center"/>
            </w:pPr>
            <w:r>
              <w:rPr>
                <w:rFonts w:hint="eastAsia" w:ascii="宋体" w:hAnsi="宋体" w:cs="宋体"/>
              </w:rPr>
              <w:t xml:space="preserve">璀璨四季花园20幢603</w:t>
            </w:r>
          </w:p>
        </w:tc>
        <w:tc>
          <w:tcPr>
            <w:tcW w:w="1843" w:type="dxa"/>
            <w:vAlign w:val="center"/>
          </w:tcPr>
          <w:p>
            <w:pPr>
              <w:jc w:val="center"/>
            </w:pPr>
            <w:r>
              <w:rPr>
                <w:rFonts w:hint="eastAsia" w:ascii="宋体" w:hAnsi="宋体" w:cs="宋体"/>
              </w:rPr>
              <w:t xml:space="preserve">吴越岭秀15幢703</w:t>
            </w:r>
          </w:p>
        </w:tc>
        <w:tc>
          <w:tcPr>
            <w:tcW w:w="1985" w:type="dxa"/>
            <w:vAlign w:val="center"/>
          </w:tcPr>
          <w:p>
            <w:pPr>
              <w:jc w:val="center"/>
            </w:pPr>
            <w:r>
              <w:rPr>
                <w:rFonts w:hint="eastAsia" w:ascii="宋体" w:hAnsi="宋体" w:cs="宋体"/>
              </w:rPr>
              <w:t xml:space="preserve">璀璨四季花园24幢102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吴越岭秀15幢703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0" style="height:130pt;width:180pt" o:spid="_x0000_i0087"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1" style="height:130pt;width:180pt" o:spid="_x0000_i0088"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璀璨四季花园20幢603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2" style="height:130pt;width:180pt" o:spid="_x0000_i0089"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3" style="height:130pt;width:180pt" o:spid="_x0000_i0090"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吴越岭秀15幢703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4" style="height:130pt;width:180pt" o:spid="_x0000_i0091"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5" style="height:130pt;width:180pt" o:spid="_x0000_i0092" o:bordertopcolor="this" o:borderleftcolor="this" o:borderbottomcolor="this" o:borderrightcolor="this" type="#_x0000_t75">
                  <v:imagedata o:title="" r:id="rId15"/>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璀璨四季花园24幢102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6" style="height:130pt;width:180pt" o:spid="_x0000_i0093"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7" style="height:130pt;width:180pt" o:spid="_x0000_i0094" o:bordertopcolor="this" o:borderleftcolor="this" o:borderbottomcolor="this" o:borderrightcolor="this" type="#_x0000_t75">
                  <v:imagedata o:title="" r:id="rId18"/>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5" style="height:420pt;rotation:-90;width:530pt" o:spid="_x0000_i0095" o:bordertopcolor="this" o:borderleftcolor="this" o:borderbottomcolor="this" o:borderrightcolor="this" type="#_x0000_t75">
                  <v:imagedata o:title="" r:id="rId19"/>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4" style="height:420pt;rotation:-90;width:530pt" o:spid="_x0000_i009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2" style="height:225pt;width:315pt" o:spid="_x0000_i0097" o:bordertopcolor="this" o:borderleftcolor="this" o:borderbottomcolor="this" o:borderrightcolor="this" type="#_x0000_t75">
                  <v:imagedata o:title="" r:id="rId21"/>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73" style="height:0;width:0" o:spid="_x0000_i0098" o:bordertopcolor="this" o:borderleftcolor="this" o:borderbottomcolor="this" o:borderrightcolor="this" type="#_x0000_t75">
                  <v:imagedata o:title="" r:id="rId22"/>
                </v:shape>
              </w:pict>
            </w:r>
          </w:p>
        </w:tc>
      </w:tr>
    </w:tbl>
    <w:p>
      <w:pPr>
        <w:spacing w:line="360" w:lineRule="auto"/>
        <w:jc w:val="both"/>
        <w:rPr>
          <w:rFonts w:ascii="仿宋_GB2312" w:hAnsi="华文仿宋" w:eastAsia="仿宋_GB2312"/>
          <w:bCs/>
          <w:sz w:val="28"/>
          <w:szCs w:val="28"/>
        </w:rPr>
      </w:pPr>
    </w:p>
    <w:sectPr>
      <w:footerReference w:type="default" r:id="rId23"/>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footer" Target="footer2.xml" /><Relationship Id="rId24" Type="http://schemas.openxmlformats.org/officeDocument/2006/relationships/theme" Target="theme/theme1.xml" /><Relationship Id="rId25" Type="http://schemas.openxmlformats.org/officeDocument/2006/relationships/styles" Target="styles.xml" /><Relationship Id="rId26" Type="http://schemas.openxmlformats.org/officeDocument/2006/relationships/webSettings" Target="webSettings.xml" /><Relationship Id="rId27" Type="http://schemas.openxmlformats.org/officeDocument/2006/relationships/numbering" Target="numbering.xml" /><Relationship Id="rId28" Type="http://schemas.openxmlformats.org/officeDocument/2006/relationships/fontTable" Target="fontTable.xml" /><Relationship Id="rId29" Type="http://schemas.openxmlformats.org/officeDocument/2006/relationships/settings" Target="settings.xml" /><Relationship Id="rId3" Type="http://schemas.openxmlformats.org/officeDocument/2006/relationships/footer" Target="footer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