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苏吴地评税字(2023)吴江第01109号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国贸中心联排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2023年12月26日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估价对象位于苏州市吴江区区域范围内的国贸中心住宅小区联排存量房。该小区内的物业类型包括：</w:t>
      </w:r>
      <w:r>
        <w:rPr>
          <w:rFonts w:ascii="宋体"/>
          <w:sz w:val="24"/>
        </w:rPr>
        <w:t xml:space="preserve">高层、联排、办公</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月修订版），结合估价人员现场查勘，选取国贸中心</w:t>
      </w:r>
      <w:r>
        <w:rPr>
          <w:rFonts w:ascii="宋体"/>
          <w:sz w:val="24"/>
        </w:rPr>
        <w:t xml:space="preserve">4幢102室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283.22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2073年05月19日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2023年12月13日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2023年12月13日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壹万贰仟肆佰柒拾陆元整</w:t>
      </w:r>
      <w:r>
        <w:rPr>
          <w:rFonts w:hint="eastAsia" w:ascii="宋体" w:hAnsi="宋体"/>
          <w:b/>
          <w:bCs/>
          <w:sz w:val="24"/>
        </w:rPr>
        <w:t xml:space="preserve">（RMB</w:t>
      </w:r>
      <w:r>
        <w:rPr>
          <w:rFonts w:ascii="宋体" w:hAnsi="宋体"/>
          <w:b/>
          <w:bCs/>
          <w:sz w:val="24"/>
        </w:rPr>
        <w:t xml:space="preserve"> 12476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2023年12月26日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2023年12月26日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2023年12月26日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5.本报告作为整体使用时有效。若房地产市场无重大波动，本估价报告自出具日起一年内有效，从2023年12月26日至</w:t>
      </w:r>
      <w:r>
        <w:rPr>
          <w:rFonts w:ascii="宋体" w:hAnsi="宋体"/>
          <w:sz w:val="24"/>
        </w:rPr>
        <w:t xml:space="preserve">2024年12月25日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估价对象为国贸中心</w:t>
      </w:r>
      <w:r>
        <w:rPr>
          <w:rFonts w:ascii="宋体" w:hAnsi="宋体"/>
          <w:sz w:val="24"/>
        </w:rPr>
        <w:t xml:space="preserve">4幢102室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金色摩纺西侧</w:t>
      </w:r>
      <w:r>
        <w:rPr>
          <w:rFonts w:hint="eastAsia" w:hAnsi="宋体"/>
          <w:sz w:val="24"/>
        </w:rPr>
        <w:t xml:space="preserve">的“国贸中心”住宅区内。</w:t>
      </w:r>
      <w:r>
        <w:rPr>
          <w:rFonts w:hint="eastAsia" w:ascii="宋体" w:hAnsi="宋体"/>
          <w:sz w:val="24"/>
        </w:rPr>
        <w:t xml:space="preserve">估价对象东至</w:t>
      </w:r>
      <w:r>
        <w:rPr>
          <w:rFonts w:ascii="宋体" w:hAnsi="宋体"/>
          <w:sz w:val="24"/>
          <w:szCs w:val="24"/>
        </w:rPr>
        <w:t xml:space="preserve">金色摩纺</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目澜路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白龙桥路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市场路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283.22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金色摩纺西侧</w:t>
      </w:r>
      <w:r>
        <w:rPr>
          <w:rFonts w:hint="eastAsia" w:hAnsi="宋体"/>
          <w:sz w:val="24"/>
        </w:rPr>
        <w:t xml:space="preserve">的“国贸中心”住宅区内。该小区内的物业类型包括：</w:t>
      </w:r>
      <w:r>
        <w:rPr>
          <w:rFonts w:hAnsi="宋体"/>
          <w:sz w:val="24"/>
        </w:rPr>
        <w:t xml:space="preserve">高层、联排、办公</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国贸中心</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“国贸中心”小区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由于国贸中心市场交易不活跃，片区内可选案例较少，因此选择的案例A，B，C，D，距离在3公里以外。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国贸中心住宅2023年12月挂牌均价14646元/平方米，较年初持平。待评估二手房住宅近12个月（2023年01月-2023年12月）挂牌均价波动幅度较小，价格维持在14646-16414元/平方米之间。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均价说明：国贸中心小区物业类型包括：高层、联排、办公,房源均价为:14646元/平方米，包含毛坯价值以及附带装修价值。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该房屋为3层住宅楼的第1-3层，建于2012年，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283.22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2073年05月19日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2023年12月13日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壹万贰仟肆佰柒拾陆元整</w:t>
      </w:r>
      <w:r>
        <w:rPr>
          <w:rFonts w:hint="eastAsia" w:ascii="宋体" w:hAnsi="宋体"/>
          <w:b/>
          <w:bCs/>
          <w:sz w:val="24"/>
        </w:rPr>
        <w:t xml:space="preserve">（RMB </w:t>
      </w:r>
      <w:r>
        <w:rPr>
          <w:rFonts w:ascii="宋体" w:hAnsi="宋体"/>
          <w:b/>
          <w:bCs/>
          <w:sz w:val="24"/>
        </w:rPr>
        <w:t xml:space="preserve">12476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353.35</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12476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2023年12月26日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2023年12月26日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本次实地查勘期为2023年12月13日，并于当日完成现场查勘。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2023年12月13日</w:t>
      </w:r>
      <w:r>
        <w:rPr>
          <w:rFonts w:hint="eastAsia" w:ascii="宋体"/>
          <w:sz w:val="24"/>
        </w:rPr>
        <w:t xml:space="preserve">至2023年12月26日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估价对象为苏州市吴江区“国贸中心”住宅区内的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目澜路北侧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目澜路北侧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附近有775路、767路、751路等多条公交线路</w:t>
      </w:r>
      <w:r>
        <w:rPr>
          <w:rFonts w:hint="eastAsia" w:hAnsi="宋体"/>
          <w:sz w:val="24"/>
        </w:rPr>
        <w:t xml:space="preserve">，</w:t>
      </w:r>
      <w:r>
        <w:rPr>
          <w:rFonts w:hAnsi="宋体"/>
          <w:sz w:val="24"/>
        </w:rPr>
        <w:t xml:space="preserve">至公交站点的距离约为130米，公交班次平均隔10分钟有一辆汽车通过。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大润发超市（市场路）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目澜路综合农贸批发市场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新生儿幼儿园</w:t>
      </w:r>
      <w:r>
        <w:rPr>
          <w:rFonts w:hint="eastAsia" w:ascii="宋体" w:hAnsi="宋体" w:eastAsia="宋体" w:asciiTheme="minorEastAsia" w:hAnsiTheme="minorEastAsia" w:eastAsiaTheme="minorEastAsia"/>
          <w:sz w:val="24"/>
        </w:rPr>
        <w:t xml:space="preserve">、</w:t>
      </w:r>
      <w:r>
        <w:rPr>
          <w:rFonts w:hAnsi="宋体"/>
          <w:sz w:val="24"/>
        </w:rPr>
        <w:t xml:space="preserve">坛丘小学（东校区）</w:t>
      </w:r>
      <w:r>
        <w:rPr>
          <w:rFonts w:hint="eastAsia" w:hAnsi="宋体"/>
          <w:sz w:val="24"/>
        </w:rPr>
        <w:t xml:space="preserve">、</w:t>
      </w:r>
      <w:r>
        <w:rPr>
          <w:rFonts w:hAnsi="宋体"/>
          <w:sz w:val="24"/>
        </w:rPr>
        <w:t xml:space="preserve">盛泽第二中学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2073年05月19日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金色摩纺</w:t>
      </w:r>
      <w:r>
        <w:rPr>
          <w:rFonts w:hint="eastAsia" w:ascii="宋体" w:hAnsi="宋体"/>
          <w:sz w:val="24"/>
        </w:rPr>
        <w:t xml:space="preserve">，南至</w:t>
      </w:r>
      <w:r>
        <w:rPr>
          <w:rFonts w:ascii="宋体" w:hAnsi="宋体"/>
          <w:sz w:val="24"/>
        </w:rPr>
        <w:t xml:space="preserve">目澜路</w:t>
      </w:r>
      <w:r>
        <w:rPr>
          <w:rFonts w:hint="eastAsia" w:ascii="宋体" w:hAnsi="宋体"/>
          <w:sz w:val="24"/>
        </w:rPr>
        <w:t xml:space="preserve">，西至</w:t>
      </w:r>
      <w:r>
        <w:rPr>
          <w:rFonts w:ascii="宋体" w:hAnsi="宋体"/>
          <w:sz w:val="24"/>
        </w:rPr>
        <w:t xml:space="preserve">白龙桥路</w:t>
      </w:r>
      <w:r>
        <w:rPr>
          <w:rFonts w:hint="eastAsia" w:ascii="宋体" w:hAnsi="宋体"/>
          <w:sz w:val="24"/>
        </w:rPr>
        <w:t xml:space="preserve">，北至</w:t>
      </w:r>
      <w:r>
        <w:rPr>
          <w:rFonts w:ascii="宋体" w:hAnsi="宋体"/>
          <w:sz w:val="24"/>
        </w:rPr>
        <w:t xml:space="preserve">市场路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估价对象为坐落于苏州市吴江区国贸中心</w:t>
      </w:r>
      <w:r>
        <w:t xml:space="preserve"> </w:t>
      </w:r>
      <w:r>
        <w:rPr>
          <w:rFonts w:ascii="宋体" w:hAnsi="宋体"/>
          <w:kern w:val="2"/>
          <w:sz w:val="24"/>
        </w:rPr>
        <w:t xml:space="preserve">4幢102室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283.22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估价对象建成于2012年，基础较为稳固，未见沉降；墙面、地面、门窗等保养完好，综合保养成新度为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国贸中心住宅2023年12月挂牌均价14646元/平方米，较年初持平。待评估二手房住宅近12个月（2023年01月-2023年12月）挂牌均价波动幅度较小，价格维持在14646-16414元/平方米之间。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苏州市吴江区国贸中心</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F32050920230017034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F32050920230001854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s202212220185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s202302070095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吴江区盛泽镇国贸中心4幢102室联排住宅标准房基准价格评估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豪门府邸小区2553幢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盛世花苑122幢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龙洋大花园55幢102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豪门府邸150幢1号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283.22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353.53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342.51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250.43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352.04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2023年12月13日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11048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12587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13673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指数，吴江区2022年12月至2023年11月住宅月度价格指数表为：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2023年11月13日</w:t>
            </w:r>
          </w:p>
        </w:tc>
        <w:tc>
          <w:tcPr>
            <w:tcW w:w="778"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2023年05月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12520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12587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13673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2040</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1.003</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1.003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备注：在价值时点2023年12月13日</w:t>
      </w:r>
      <w:r>
        <w:rPr>
          <w:rFonts w:hint="eastAsia" w:ascii="宋体" w:hAnsi="宋体" w:cs="宋体"/>
          <w:sz w:val="24"/>
          <w:szCs w:val="24"/>
        </w:rPr>
        <w:t xml:space="preserve">，2023年12月份价格指数尚未公布，本次估价采用2023年11月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00355067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吴江区盛泽镇国贸中心4幢102室联排住宅标准房基准价格评估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豪门府邸小区2553幢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盛世花苑122幢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龙洋大花园55幢102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豪门府邸150幢1号</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283.22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353.53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342.51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250.43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352.04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13673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11090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12558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13179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12520</w:t>
            </w:r>
          </w:p>
        </w:tc>
        <w:tc>
          <w:tcPr>
            <w:tcW w:w="922" w:type="pct"/>
            <w:shd w:val="clear" w:color="auto" w:fill="auto"/>
            <w:vAlign w:val="center"/>
          </w:tcPr>
          <w:p>
            <w:pPr>
              <w:jc w:val="center"/>
              <w:rPr>
                <w:rFonts w:ascii="宋体" w:hAnsi="宋体" w:cs="宋体"/>
              </w:rPr>
            </w:pPr>
            <w:r>
              <w:rPr>
                <w:rFonts w:hint="eastAsia" w:ascii="宋体" w:hAnsi="宋体" w:cs="宋体"/>
              </w:rPr>
              <w:t xml:space="preserve">12587</w:t>
            </w:r>
          </w:p>
        </w:tc>
        <w:tc>
          <w:tcPr>
            <w:tcW w:w="922" w:type="pct"/>
            <w:shd w:val="clear" w:color="auto" w:fill="auto"/>
            <w:vAlign w:val="center"/>
          </w:tcPr>
          <w:p>
            <w:pPr>
              <w:jc w:val="center"/>
              <w:rPr>
                <w:rFonts w:ascii="宋体" w:hAnsi="宋体" w:cs="宋体"/>
              </w:rPr>
            </w:pPr>
            <w:r>
              <w:rPr>
                <w:rFonts w:hint="eastAsia" w:ascii="宋体" w:hAnsi="宋体" w:cs="宋体"/>
              </w:rPr>
              <w:t xml:space="preserve">13673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110.16/114.57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1.0038</w:t>
            </w:r>
          </w:p>
        </w:tc>
        <w:tc>
          <w:tcPr>
            <w:tcW w:w="922" w:type="pct"/>
            <w:shd w:val="clear" w:color="auto" w:fill="auto"/>
            <w:vAlign w:val="center"/>
          </w:tcPr>
          <w:p>
            <w:pPr>
              <w:jc w:val="center"/>
              <w:rPr>
                <w:rFonts w:ascii="宋体" w:hAnsi="宋体" w:cs="宋体"/>
              </w:rPr>
            </w:pPr>
            <w:r>
              <w:rPr>
                <w:rFonts w:hint="eastAsia" w:ascii="宋体" w:hAnsi="宋体" w:cs="宋体"/>
              </w:rPr>
              <w:t xml:space="preserve">1.003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1.039</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11090</w:t>
            </w:r>
          </w:p>
        </w:tc>
        <w:tc>
          <w:tcPr>
            <w:tcW w:w="922" w:type="pct"/>
            <w:shd w:val="clear" w:color="auto" w:fill="auto"/>
            <w:vAlign w:val="center"/>
          </w:tcPr>
          <w:p>
            <w:pPr>
              <w:jc w:val="center"/>
              <w:rPr>
                <w:rFonts w:ascii="宋体" w:hAnsi="宋体" w:cs="宋体"/>
              </w:rPr>
            </w:pPr>
            <w:r>
              <w:rPr>
                <w:rFonts w:hint="eastAsia" w:ascii="宋体" w:hAnsi="宋体" w:cs="宋体"/>
              </w:rPr>
              <w:t xml:space="preserve">12558</w:t>
            </w:r>
          </w:p>
        </w:tc>
        <w:tc>
          <w:tcPr>
            <w:tcW w:w="922" w:type="pct"/>
            <w:shd w:val="clear" w:color="auto" w:fill="auto"/>
            <w:vAlign w:val="center"/>
          </w:tcPr>
          <w:p>
            <w:pPr>
              <w:jc w:val="center"/>
              <w:rPr>
                <w:rFonts w:ascii="宋体" w:hAnsi="宋体" w:cs="宋体"/>
              </w:rPr>
            </w:pPr>
            <w:r>
              <w:rPr>
                <w:rFonts w:hint="eastAsia" w:ascii="宋体" w:hAnsi="宋体" w:cs="宋体"/>
              </w:rPr>
              <w:t xml:space="preserve">13078</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11090</w:t>
            </w:r>
          </w:p>
        </w:tc>
        <w:tc>
          <w:tcPr>
            <w:tcW w:w="922" w:type="pct"/>
            <w:shd w:val="clear" w:color="auto" w:fill="auto"/>
            <w:vAlign w:val="center"/>
          </w:tcPr>
          <w:p>
            <w:pPr>
              <w:jc w:val="center"/>
              <w:rPr>
                <w:rFonts w:ascii="宋体" w:hAnsi="宋体" w:cs="宋体"/>
              </w:rPr>
            </w:pPr>
            <w:r>
              <w:rPr>
                <w:rFonts w:hint="eastAsia" w:ascii="宋体" w:hAnsi="宋体" w:cs="宋体"/>
              </w:rPr>
              <w:t xml:space="preserve">12558</w:t>
            </w:r>
          </w:p>
        </w:tc>
        <w:tc>
          <w:tcPr>
            <w:tcW w:w="922" w:type="pct"/>
            <w:shd w:val="clear" w:color="auto" w:fill="auto"/>
            <w:vAlign w:val="center"/>
          </w:tcPr>
          <w:p>
            <w:pPr>
              <w:jc w:val="center"/>
              <w:rPr>
                <w:rFonts w:ascii="宋体" w:hAnsi="宋体" w:cs="宋体"/>
              </w:rPr>
            </w:pPr>
            <w:r>
              <w:rPr>
                <w:rFonts w:hint="eastAsia" w:ascii="宋体" w:hAnsi="宋体" w:cs="宋体"/>
              </w:rPr>
              <w:t xml:space="preserve">13078</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12476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F32050920230017034</w:t>
            </w:r>
          </w:p>
        </w:tc>
        <w:tc>
          <w:tcPr>
            <w:tcW w:w="1842" w:type="dxa"/>
            <w:vAlign w:val="center"/>
          </w:tcPr>
          <w:p>
            <w:pPr>
              <w:jc w:val="center"/>
            </w:pPr>
            <w:r>
              <w:rPr>
                <w:rFonts w:hint="eastAsia" w:ascii="宋体" w:hAnsi="宋体" w:cs="宋体"/>
              </w:rPr>
              <w:t xml:space="preserve">F32050920230001854</w:t>
            </w:r>
          </w:p>
        </w:tc>
        <w:tc>
          <w:tcPr>
            <w:tcW w:w="1843" w:type="dxa"/>
            <w:vAlign w:val="center"/>
          </w:tcPr>
          <w:p>
            <w:pPr>
              <w:jc w:val="center"/>
            </w:pPr>
            <w:r>
              <w:rPr>
                <w:rFonts w:hint="eastAsia" w:ascii="宋体" w:hAnsi="宋体" w:cs="宋体"/>
              </w:rPr>
              <w:t xml:space="preserve">s202212220185</w:t>
            </w:r>
          </w:p>
        </w:tc>
        <w:tc>
          <w:tcPr>
            <w:tcW w:w="1985" w:type="dxa"/>
            <w:vAlign w:val="center"/>
          </w:tcPr>
          <w:p>
            <w:pPr>
              <w:jc w:val="center"/>
            </w:pPr>
            <w:r>
              <w:rPr>
                <w:rFonts w:hint="eastAsia" w:ascii="宋体" w:hAnsi="宋体" w:cs="宋体"/>
              </w:rPr>
              <w:t xml:space="preserve">s202302070095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豪门府邸小区2553幢</w:t>
            </w:r>
          </w:p>
        </w:tc>
        <w:tc>
          <w:tcPr>
            <w:tcW w:w="1842" w:type="dxa"/>
            <w:vAlign w:val="center"/>
          </w:tcPr>
          <w:p>
            <w:pPr>
              <w:jc w:val="center"/>
            </w:pPr>
            <w:r>
              <w:rPr>
                <w:rFonts w:hint="eastAsia" w:ascii="宋体" w:hAnsi="宋体" w:cs="宋体"/>
              </w:rPr>
              <w:t xml:space="preserve">盛世花苑122幢</w:t>
            </w:r>
          </w:p>
        </w:tc>
        <w:tc>
          <w:tcPr>
            <w:tcW w:w="1843" w:type="dxa"/>
            <w:vAlign w:val="center"/>
          </w:tcPr>
          <w:p>
            <w:pPr>
              <w:jc w:val="center"/>
            </w:pPr>
            <w:r>
              <w:rPr>
                <w:rFonts w:hint="eastAsia" w:ascii="宋体" w:hAnsi="宋体" w:cs="宋体"/>
              </w:rPr>
              <w:t xml:space="preserve">龙洋大花园55幢102</w:t>
            </w:r>
          </w:p>
        </w:tc>
        <w:tc>
          <w:tcPr>
            <w:tcW w:w="1985" w:type="dxa"/>
            <w:vAlign w:val="center"/>
          </w:tcPr>
          <w:p>
            <w:pPr>
              <w:jc w:val="center"/>
            </w:pPr>
            <w:r>
              <w:rPr>
                <w:rFonts w:hint="eastAsia" w:ascii="宋体" w:hAnsi="宋体" w:cs="宋体"/>
              </w:rPr>
              <w:t xml:space="preserve">豪门府邸150幢1号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豪门府邸小区2553幢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盛世花苑122幢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龙洋大花园55幢102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豪门府邸150幢1号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