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苏吴地评税字(2023)吴江第01125号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绿洲华庭双拼</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2023年12月26日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估价对象位于苏州市吴江区区域范围内的绿洲华庭住宅小区双拼存量房。该小区内的物业类型包括：</w:t>
      </w:r>
      <w:r>
        <w:rPr>
          <w:rFonts w:ascii="宋体"/>
          <w:sz w:val="24"/>
        </w:rPr>
        <w:t xml:space="preserve">高层、联排、双拼、办公</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月修订版），结合估价人员现场查勘，选取绿洲华庭</w:t>
      </w:r>
      <w:r>
        <w:rPr>
          <w:rFonts w:ascii="宋体"/>
          <w:sz w:val="24"/>
        </w:rPr>
        <w:t xml:space="preserve">5幢102室</w:t>
      </w:r>
      <w:r>
        <w:rPr>
          <w:rFonts w:hint="eastAsia" w:ascii="宋体"/>
          <w:sz w:val="24"/>
        </w:rPr>
        <w:t xml:space="preserve">为该小区</w:t>
      </w:r>
      <w:r>
        <w:rPr>
          <w:rFonts w:ascii="宋体"/>
          <w:sz w:val="24"/>
        </w:rPr>
        <w:t xml:space="preserve">钢混结构</w:t>
      </w:r>
      <w:r>
        <w:rPr>
          <w:rFonts w:hint="eastAsia" w:ascii="宋体"/>
          <w:sz w:val="24"/>
        </w:rPr>
        <w:t xml:space="preserve">双拼的标准样本房，所在楼层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358.91</w:t>
      </w:r>
      <w:r>
        <w:rPr>
          <w:rFonts w:hint="eastAsia" w:ascii="宋体"/>
          <w:sz w:val="24"/>
        </w:rPr>
        <w:t xml:space="preserve">平方米，南北朝向，</w:t>
      </w:r>
      <w:r>
        <w:rPr>
          <w:rFonts w:ascii="宋体"/>
          <w:sz w:val="24"/>
        </w:rPr>
        <w:t xml:space="preserve">，钢混结构</w:t>
      </w:r>
      <w:r>
        <w:rPr>
          <w:rFonts w:hint="eastAsia" w:ascii="宋体"/>
          <w:sz w:val="24"/>
        </w:rPr>
        <w:t xml:space="preserve">，设计用途为成套住宅，建成于</w:t>
      </w:r>
      <w:r>
        <w:rPr>
          <w:rFonts w:ascii="宋体"/>
          <w:sz w:val="24"/>
        </w:rPr>
        <w:t xml:space="preserve">2016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2080年01月09日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2023年12月13日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2023年12月13日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壹万贰仟陆佰肆拾贰元整</w:t>
      </w:r>
      <w:r>
        <w:rPr>
          <w:rFonts w:hint="eastAsia" w:ascii="宋体" w:hAnsi="宋体"/>
          <w:b/>
          <w:bCs/>
          <w:sz w:val="24"/>
        </w:rPr>
        <w:t xml:space="preserve">（RMB</w:t>
      </w:r>
      <w:r>
        <w:rPr>
          <w:rFonts w:ascii="宋体" w:hAnsi="宋体"/>
          <w:b/>
          <w:bCs/>
          <w:sz w:val="24"/>
        </w:rPr>
        <w:t xml:space="preserve"> 12642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2023年12月26日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2023年12月26日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2023年12月26日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5.本报告作为整体使用时有效。若房地产市场无重大波动，本估价报告自出具日起一年内有效，从2023年12月26日至</w:t>
      </w:r>
      <w:r>
        <w:rPr>
          <w:rFonts w:ascii="宋体" w:hAnsi="宋体"/>
          <w:sz w:val="24"/>
        </w:rPr>
        <w:t xml:space="preserve">2024年12月25日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估价对象为绿洲华庭</w:t>
      </w:r>
      <w:r>
        <w:rPr>
          <w:rFonts w:ascii="宋体" w:hAnsi="宋体"/>
          <w:sz w:val="24"/>
        </w:rPr>
        <w:t xml:space="preserve">5幢102室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道路西侧</w:t>
      </w:r>
      <w:r>
        <w:rPr>
          <w:rFonts w:hint="eastAsia" w:hAnsi="宋体"/>
          <w:sz w:val="24"/>
        </w:rPr>
        <w:t xml:space="preserve">的“绿洲华庭”住宅区内。</w:t>
      </w:r>
      <w:r>
        <w:rPr>
          <w:rFonts w:hint="eastAsia" w:ascii="宋体" w:hAnsi="宋体"/>
          <w:sz w:val="24"/>
        </w:rPr>
        <w:t xml:space="preserve">估价对象东至</w:t>
      </w:r>
      <w:r>
        <w:rPr>
          <w:rFonts w:ascii="宋体" w:hAnsi="宋体"/>
          <w:sz w:val="24"/>
          <w:szCs w:val="24"/>
        </w:rPr>
        <w:t xml:space="preserve">道路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道路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苏州技师学院</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舜湖西路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358.91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道路西侧</w:t>
      </w:r>
      <w:r>
        <w:rPr>
          <w:rFonts w:hint="eastAsia" w:hAnsi="宋体"/>
          <w:sz w:val="24"/>
        </w:rPr>
        <w:t xml:space="preserve">的“绿洲华庭”住宅区内。该小区内的物业类型包括：</w:t>
      </w:r>
      <w:r>
        <w:rPr>
          <w:rFonts w:hAnsi="宋体"/>
          <w:sz w:val="24"/>
        </w:rPr>
        <w:t xml:space="preserve">高层、联排、双拼、办公</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绿洲华庭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“绿洲华庭”小区</w:t>
            </w:r>
            <w:r>
              <w:rPr>
                <w:rFonts w:ascii="Cambria" w:hAnsi="宋体" w:eastAsia="黑体" w:cs="Times New Roman" w:asciiTheme="majorHAnsi" w:cstheme="majorBidi"/>
                <w:sz w:val="15"/>
                <w:szCs w:val="15"/>
              </w:rPr>
              <w:t xml:space="preserve">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由于绿洲华庭市场交易不活跃，片区内可选案例较少，因此选择的案例A，B，C，D，距离在3公里以外。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绿洲华庭住宅2023年12月挂牌均价13732元/平方米，较年初持平。待评估二手房住宅近12个月（2023年01月-2023年12月）挂牌均价波动幅度较小，价格维持在13732-16217元/平方米之间。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均价说明：绿洲华庭小区物业类型包括：高层、联排、双拼、办公,房源均价为:13732元/平方米，包含毛坯价值以及附带装修价值。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358.91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2080年01月09日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2023年12月13日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壹万贰仟陆佰肆拾贰元整</w:t>
      </w:r>
      <w:r>
        <w:rPr>
          <w:rFonts w:hint="eastAsia" w:ascii="宋体" w:hAnsi="宋体"/>
          <w:b/>
          <w:bCs/>
          <w:sz w:val="24"/>
        </w:rPr>
        <w:t xml:space="preserve">（RMB </w:t>
      </w:r>
      <w:r>
        <w:rPr>
          <w:rFonts w:ascii="宋体" w:hAnsi="宋体"/>
          <w:b/>
          <w:bCs/>
          <w:sz w:val="24"/>
        </w:rPr>
        <w:t xml:space="preserve">12642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453.73</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12642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2023年12月26日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2023年12月26日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本次实地查勘期为2023年12月13日，并于当日完成现场查勘。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2023年12月13日</w:t>
      </w:r>
      <w:r>
        <w:rPr>
          <w:rFonts w:hint="eastAsia" w:ascii="宋体"/>
          <w:sz w:val="24"/>
        </w:rPr>
        <w:t xml:space="preserve">至2023年12月26日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估价对象为苏州市吴江区“绿洲华庭”住宅区内的</w:t>
      </w:r>
      <w:r>
        <w:rPr>
          <w:rFonts w:hAnsi="宋体"/>
          <w:sz w:val="24"/>
        </w:rPr>
        <w:t xml:space="preserve">双拼</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舜湖西路南侧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舜湖西路南侧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附近有755路等多条公交线路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欧尚超市(苏州盛泽店)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目澜路综合农贸批发市场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阳光双语幼儿园</w:t>
      </w:r>
      <w:r>
        <w:rPr>
          <w:rFonts w:hint="eastAsia" w:ascii="宋体" w:hAnsi="宋体" w:eastAsia="宋体" w:asciiTheme="minorEastAsia" w:hAnsiTheme="minorEastAsia" w:eastAsiaTheme="minorEastAsia"/>
          <w:sz w:val="24"/>
        </w:rPr>
        <w:t xml:space="preserve">、</w:t>
      </w:r>
      <w:r>
        <w:rPr>
          <w:rFonts w:hAnsi="宋体"/>
          <w:sz w:val="24"/>
        </w:rPr>
        <w:t xml:space="preserve">盛泽实验小学</w:t>
      </w:r>
      <w:r>
        <w:rPr>
          <w:rFonts w:hint="eastAsia" w:hAnsi="宋体"/>
          <w:sz w:val="24"/>
        </w:rPr>
        <w:t xml:space="preserve">、</w:t>
      </w:r>
      <w:r>
        <w:rPr>
          <w:rFonts w:hAnsi="宋体"/>
          <w:sz w:val="24"/>
        </w:rPr>
        <w:t xml:space="preserve">盛泽第二中学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2080年01月09日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道路</w:t>
      </w:r>
      <w:r>
        <w:rPr>
          <w:rFonts w:hint="eastAsia" w:ascii="宋体" w:hAnsi="宋体"/>
          <w:sz w:val="24"/>
        </w:rPr>
        <w:t xml:space="preserve">，南至</w:t>
      </w:r>
      <w:r>
        <w:rPr>
          <w:rFonts w:ascii="宋体" w:hAnsi="宋体"/>
          <w:sz w:val="24"/>
        </w:rPr>
        <w:t xml:space="preserve">道路</w:t>
      </w:r>
      <w:r>
        <w:rPr>
          <w:rFonts w:hint="eastAsia" w:ascii="宋体" w:hAnsi="宋体"/>
          <w:sz w:val="24"/>
        </w:rPr>
        <w:t xml:space="preserve">，西至</w:t>
      </w:r>
      <w:r>
        <w:rPr>
          <w:rFonts w:ascii="宋体" w:hAnsi="宋体"/>
          <w:sz w:val="24"/>
        </w:rPr>
        <w:t xml:space="preserve">苏州技师学院</w:t>
      </w:r>
      <w:r>
        <w:rPr>
          <w:rFonts w:hint="eastAsia" w:ascii="宋体" w:hAnsi="宋体"/>
          <w:sz w:val="24"/>
        </w:rPr>
        <w:t xml:space="preserve">，北至</w:t>
      </w:r>
      <w:r>
        <w:rPr>
          <w:rFonts w:ascii="宋体" w:hAnsi="宋体"/>
          <w:sz w:val="24"/>
        </w:rPr>
        <w:t xml:space="preserve">舜湖西路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估价对象为坐落于苏州市吴江区绿洲华庭</w:t>
      </w:r>
      <w:r>
        <w:t xml:space="preserve"> </w:t>
      </w:r>
      <w:r>
        <w:rPr>
          <w:rFonts w:ascii="宋体" w:hAnsi="宋体"/>
          <w:kern w:val="2"/>
          <w:sz w:val="24"/>
        </w:rPr>
        <w:t xml:space="preserve">5幢102室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估价对象为双拼建筑，建筑面积为</w:t>
      </w:r>
      <w:r>
        <w:rPr>
          <w:rFonts w:hAnsi="宋体"/>
          <w:sz w:val="24"/>
        </w:rPr>
        <w:t xml:space="preserve">358.91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五室两厅四卫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估价对象建成于2016年，基础较为稳固，未见沉降；墙面、地面、门窗等保养完好，综合保养成新度为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绿洲华庭住宅2023年12月挂牌均价13732元/平方米，较年初持平。待评估二手房住宅近12个月（2023年01月-2023年12月）挂牌均价波动幅度较小，价格维持在13732-16217元/平方米之间。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苏州市吴江区绿洲华庭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F32050920230005963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F32050920230006263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w202211280063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w202302030010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吴江区盛泽镇绿洲华庭5幢102室双拼住宅标准房基准价格评估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云水谣62幢01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云水谣99幢02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御湖庄园29幢102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太阳岛花苑57幢102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358.91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381.74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461.32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244.6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293.28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2023年12月13日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12050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12573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10808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指数，吴江区2022年12月至2023年11月住宅月度价格指数表为：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2023年11月13日</w:t>
            </w:r>
          </w:p>
        </w:tc>
        <w:tc>
          <w:tcPr>
            <w:tcW w:w="778"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12050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12573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13466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10808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备注：在价值时点2023年12月13日</w:t>
      </w:r>
      <w:r>
        <w:rPr>
          <w:rFonts w:hint="eastAsia" w:ascii="宋体" w:hAnsi="宋体" w:cs="宋体"/>
          <w:sz w:val="24"/>
          <w:szCs w:val="24"/>
        </w:rPr>
        <w:t xml:space="preserve">，2023年12月份价格指数尚未公布，本次估价采用2023年11月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973512717"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吴江区盛泽镇绿洲华庭5幢102室双拼住宅标准房基准价格评估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云水谣62幢01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云水谣99幢02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御湖庄园29幢102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太阳岛花苑57幢102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358.91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381.74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461.32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244.6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293.28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13170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11264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12050</w:t>
            </w:r>
          </w:p>
        </w:tc>
        <w:tc>
          <w:tcPr>
            <w:tcW w:w="922" w:type="pct"/>
            <w:shd w:val="clear" w:color="auto" w:fill="auto"/>
            <w:vAlign w:val="center"/>
          </w:tcPr>
          <w:p>
            <w:pPr>
              <w:jc w:val="center"/>
              <w:rPr>
                <w:rFonts w:ascii="宋体" w:hAnsi="宋体" w:cs="宋体"/>
              </w:rPr>
            </w:pPr>
            <w:r>
              <w:rPr>
                <w:rFonts w:hint="eastAsia" w:ascii="宋体" w:hAnsi="宋体" w:cs="宋体"/>
              </w:rPr>
              <w:t xml:space="preserve">12573</w:t>
            </w:r>
          </w:p>
        </w:tc>
        <w:tc>
          <w:tcPr>
            <w:tcW w:w="922" w:type="pct"/>
            <w:shd w:val="clear" w:color="auto" w:fill="auto"/>
            <w:vAlign w:val="center"/>
          </w:tcPr>
          <w:p>
            <w:pPr>
              <w:jc w:val="center"/>
              <w:rPr>
                <w:rFonts w:ascii="宋体" w:hAnsi="宋体" w:cs="宋体"/>
              </w:rPr>
            </w:pPr>
            <w:r>
              <w:rPr>
                <w:rFonts w:hint="eastAsia" w:ascii="宋体" w:hAnsi="宋体" w:cs="宋体"/>
              </w:rPr>
              <w:t xml:space="preserve">13466</w:t>
            </w:r>
          </w:p>
        </w:tc>
        <w:tc>
          <w:tcPr>
            <w:tcW w:w="922" w:type="pct"/>
            <w:shd w:val="clear" w:color="auto" w:fill="auto"/>
            <w:vAlign w:val="center"/>
          </w:tcPr>
          <w:p>
            <w:pPr>
              <w:jc w:val="center"/>
              <w:rPr>
                <w:rFonts w:ascii="宋体" w:hAnsi="宋体" w:cs="宋体"/>
              </w:rPr>
            </w:pPr>
            <w:r>
              <w:rPr>
                <w:rFonts w:hint="eastAsia" w:ascii="宋体" w:hAnsi="宋体" w:cs="宋体"/>
              </w:rPr>
              <w:t xml:space="preserve">10808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1.0545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1.0475</w:t>
            </w:r>
          </w:p>
        </w:tc>
        <w:tc>
          <w:tcPr>
            <w:tcW w:w="922" w:type="pct"/>
            <w:shd w:val="clear" w:color="auto" w:fill="auto"/>
            <w:vAlign w:val="center"/>
          </w:tcPr>
          <w:p>
            <w:pPr>
              <w:jc w:val="center"/>
              <w:rPr>
                <w:rFonts w:ascii="宋体" w:hAnsi="宋体" w:cs="宋体"/>
              </w:rPr>
            </w:pPr>
            <w:r>
              <w:rPr>
                <w:rFonts w:hint="eastAsia" w:ascii="宋体" w:hAnsi="宋体" w:cs="宋体"/>
              </w:rPr>
              <w:t xml:space="preserve">0.9971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12707</w:t>
            </w:r>
          </w:p>
        </w:tc>
        <w:tc>
          <w:tcPr>
            <w:tcW w:w="922" w:type="pct"/>
            <w:shd w:val="clear" w:color="auto" w:fill="auto"/>
            <w:vAlign w:val="center"/>
          </w:tcPr>
          <w:p>
            <w:pPr>
              <w:jc w:val="center"/>
              <w:rPr>
                <w:rFonts w:ascii="宋体" w:hAnsi="宋体" w:cs="宋体"/>
              </w:rPr>
            </w:pPr>
            <w:r>
              <w:rPr>
                <w:rFonts w:hint="eastAsia" w:ascii="宋体" w:hAnsi="宋体" w:cs="宋体"/>
              </w:rPr>
              <w:t xml:space="preserve">13170</w:t>
            </w:r>
          </w:p>
        </w:tc>
        <w:tc>
          <w:tcPr>
            <w:tcW w:w="922" w:type="pct"/>
            <w:shd w:val="clear" w:color="auto" w:fill="auto"/>
            <w:vAlign w:val="center"/>
          </w:tcPr>
          <w:p>
            <w:pPr>
              <w:jc w:val="center"/>
              <w:rPr>
                <w:rFonts w:ascii="宋体" w:hAnsi="宋体" w:cs="宋体"/>
              </w:rPr>
            </w:pPr>
            <w:r>
              <w:rPr>
                <w:rFonts w:hint="eastAsia" w:ascii="宋体" w:hAnsi="宋体" w:cs="宋体"/>
              </w:rPr>
              <w:t xml:space="preserve">13427</w:t>
            </w:r>
          </w:p>
        </w:tc>
        <w:tc>
          <w:tcPr>
            <w:tcW w:w="922" w:type="pct"/>
            <w:shd w:val="clear" w:color="auto" w:fill="auto"/>
            <w:vAlign w:val="center"/>
          </w:tcPr>
          <w:p>
            <w:pPr>
              <w:jc w:val="center"/>
              <w:rPr>
                <w:rFonts w:ascii="宋体" w:hAnsi="宋体" w:cs="宋体"/>
              </w:rPr>
            </w:pPr>
            <w:r>
              <w:rPr>
                <w:rFonts w:hint="eastAsia" w:ascii="宋体" w:hAnsi="宋体" w:cs="宋体"/>
              </w:rPr>
              <w:t xml:space="preserve">11264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12707</w:t>
            </w:r>
          </w:p>
        </w:tc>
        <w:tc>
          <w:tcPr>
            <w:tcW w:w="922" w:type="pct"/>
            <w:shd w:val="clear" w:color="auto" w:fill="auto"/>
            <w:vAlign w:val="center"/>
          </w:tcPr>
          <w:p>
            <w:pPr>
              <w:jc w:val="center"/>
              <w:rPr>
                <w:rFonts w:ascii="宋体" w:hAnsi="宋体" w:cs="宋体"/>
              </w:rPr>
            </w:pPr>
            <w:r>
              <w:rPr>
                <w:rFonts w:hint="eastAsia" w:ascii="宋体" w:hAnsi="宋体" w:cs="宋体"/>
              </w:rPr>
              <w:t xml:space="preserve">13170</w:t>
            </w:r>
          </w:p>
        </w:tc>
        <w:tc>
          <w:tcPr>
            <w:tcW w:w="922" w:type="pct"/>
            <w:shd w:val="clear" w:color="auto" w:fill="auto"/>
            <w:vAlign w:val="center"/>
          </w:tcPr>
          <w:p>
            <w:pPr>
              <w:jc w:val="center"/>
              <w:rPr>
                <w:rFonts w:ascii="宋体" w:hAnsi="宋体" w:cs="宋体"/>
              </w:rPr>
            </w:pPr>
            <w:r>
              <w:rPr>
                <w:rFonts w:hint="eastAsia" w:ascii="宋体" w:hAnsi="宋体" w:cs="宋体"/>
              </w:rPr>
              <w:t xml:space="preserve">13427</w:t>
            </w:r>
          </w:p>
        </w:tc>
        <w:tc>
          <w:tcPr>
            <w:tcW w:w="922" w:type="pct"/>
            <w:shd w:val="clear" w:color="auto" w:fill="auto"/>
            <w:vAlign w:val="center"/>
          </w:tcPr>
          <w:p>
            <w:pPr>
              <w:jc w:val="center"/>
              <w:rPr>
                <w:rFonts w:ascii="宋体" w:hAnsi="宋体" w:cs="宋体"/>
              </w:rPr>
            </w:pPr>
            <w:r>
              <w:rPr>
                <w:rFonts w:hint="eastAsia" w:ascii="宋体" w:hAnsi="宋体" w:cs="宋体"/>
              </w:rPr>
              <w:t xml:space="preserve">11264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12642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F32050920230005963</w:t>
            </w:r>
          </w:p>
        </w:tc>
        <w:tc>
          <w:tcPr>
            <w:tcW w:w="1842" w:type="dxa"/>
            <w:vAlign w:val="center"/>
          </w:tcPr>
          <w:p>
            <w:pPr>
              <w:jc w:val="center"/>
            </w:pPr>
            <w:r>
              <w:rPr>
                <w:rFonts w:hint="eastAsia" w:ascii="宋体" w:hAnsi="宋体" w:cs="宋体"/>
              </w:rPr>
              <w:t xml:space="preserve">F32050920230006263</w:t>
            </w:r>
          </w:p>
        </w:tc>
        <w:tc>
          <w:tcPr>
            <w:tcW w:w="1843" w:type="dxa"/>
            <w:vAlign w:val="center"/>
          </w:tcPr>
          <w:p>
            <w:pPr>
              <w:jc w:val="center"/>
            </w:pPr>
            <w:r>
              <w:rPr>
                <w:rFonts w:hint="eastAsia" w:ascii="宋体" w:hAnsi="宋体" w:cs="宋体"/>
              </w:rPr>
              <w:t xml:space="preserve">w202211280063</w:t>
            </w:r>
          </w:p>
        </w:tc>
        <w:tc>
          <w:tcPr>
            <w:tcW w:w="1985" w:type="dxa"/>
            <w:vAlign w:val="center"/>
          </w:tcPr>
          <w:p>
            <w:pPr>
              <w:jc w:val="center"/>
            </w:pPr>
            <w:r>
              <w:rPr>
                <w:rFonts w:hint="eastAsia" w:ascii="宋体" w:hAnsi="宋体" w:cs="宋体"/>
              </w:rPr>
              <w:t xml:space="preserve">w202302030010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云水谣62幢01</w:t>
            </w:r>
          </w:p>
        </w:tc>
        <w:tc>
          <w:tcPr>
            <w:tcW w:w="1842" w:type="dxa"/>
            <w:vAlign w:val="center"/>
          </w:tcPr>
          <w:p>
            <w:pPr>
              <w:jc w:val="center"/>
            </w:pPr>
            <w:r>
              <w:rPr>
                <w:rFonts w:hint="eastAsia" w:ascii="宋体" w:hAnsi="宋体" w:cs="宋体"/>
              </w:rPr>
              <w:t xml:space="preserve">云水谣99幢02</w:t>
            </w:r>
          </w:p>
        </w:tc>
        <w:tc>
          <w:tcPr>
            <w:tcW w:w="1843" w:type="dxa"/>
            <w:vAlign w:val="center"/>
          </w:tcPr>
          <w:p>
            <w:pPr>
              <w:jc w:val="center"/>
            </w:pPr>
            <w:r>
              <w:rPr>
                <w:rFonts w:hint="eastAsia" w:ascii="宋体" w:hAnsi="宋体" w:cs="宋体"/>
              </w:rPr>
              <w:t xml:space="preserve">御湖庄园29幢102</w:t>
            </w:r>
          </w:p>
        </w:tc>
        <w:tc>
          <w:tcPr>
            <w:tcW w:w="1985" w:type="dxa"/>
            <w:vAlign w:val="center"/>
          </w:tcPr>
          <w:p>
            <w:pPr>
              <w:jc w:val="center"/>
            </w:pPr>
            <w:r>
              <w:rPr>
                <w:rFonts w:hint="eastAsia" w:ascii="宋体" w:hAnsi="宋体" w:cs="宋体"/>
              </w:rPr>
              <w:t xml:space="preserve">太阳岛花苑57幢102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云水谣62幢01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云水谣99幢02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御湖庄园29幢102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太阳岛花苑57幢102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