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苏吴地评税字(2024)吴江第00048号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吴越祥庭电梯多层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估价对象位于苏州市吴江区区域范围内的吴越祥庭住宅小区电梯多层存量房。该小区内的物业类型包括：</w:t>
      </w:r>
      <w:r>
        <w:rPr>
          <w:rFonts w:ascii="宋体"/>
          <w:sz w:val="24"/>
        </w:rPr>
        <w:t xml:space="preserve">普通多层、电梯多层、小高层、高层、联排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月修订版），结合估价人员现场查勘，选取吴越祥庭</w:t>
      </w:r>
      <w:r>
        <w:rPr>
          <w:rFonts w:ascii="宋体"/>
          <w:sz w:val="24"/>
        </w:rPr>
        <w:t xml:space="preserve">7幢102室</w:t>
      </w:r>
      <w:r>
        <w:rPr>
          <w:rFonts w:hint="eastAsia" w:ascii="宋体"/>
          <w:sz w:val="24"/>
        </w:rPr>
        <w:t xml:space="preserve">为该小区</w:t>
      </w:r>
      <w:r>
        <w:rPr>
          <w:rFonts w:ascii="宋体"/>
          <w:sz w:val="24"/>
        </w:rPr>
        <w:t xml:space="preserve">钢混结构</w:t>
      </w:r>
      <w:r>
        <w:rPr>
          <w:rFonts w:hint="eastAsia" w:ascii="宋体"/>
          <w:sz w:val="24"/>
        </w:rPr>
        <w:t xml:space="preserve">电梯多层的标准样本房，所在楼层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133.48</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2010</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2077年06月21日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2024年01月30日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2024年01月30日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壹万肆仟肆佰捌拾柒元整</w:t>
      </w:r>
      <w:r>
        <w:rPr>
          <w:rFonts w:hint="eastAsia" w:ascii="宋体" w:hAnsi="宋体"/>
          <w:b/>
          <w:bCs/>
          <w:sz w:val="24"/>
        </w:rPr>
        <w:t xml:space="preserve">（RMB</w:t>
      </w:r>
      <w:r>
        <w:rPr>
          <w:rFonts w:ascii="宋体" w:hAnsi="宋体"/>
          <w:b/>
          <w:bCs/>
          <w:sz w:val="24"/>
        </w:rPr>
        <w:t xml:space="preserve"> 14487</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2024年03月20日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5.本报告作为整体使用时有效。若房地产市场无重大波动，本估价报告自出具日起一年内有效，从2024年03月20日至</w:t>
      </w:r>
      <w:r>
        <w:rPr>
          <w:rFonts w:ascii="宋体" w:hAnsi="宋体"/>
          <w:sz w:val="24"/>
        </w:rPr>
        <w:t xml:space="preserve">2025年03月19日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吴越祥庭</w:t>
      </w:r>
      <w:r>
        <w:rPr>
          <w:rFonts w:ascii="宋体" w:hAnsi="宋体"/>
          <w:sz w:val="24"/>
        </w:rPr>
        <w:t xml:space="preserve">7幢102室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河道西侧</w:t>
      </w:r>
      <w:r>
        <w:rPr>
          <w:rFonts w:hint="eastAsia" w:hAnsi="宋体"/>
          <w:sz w:val="24"/>
        </w:rPr>
        <w:t xml:space="preserve">的“</w:t>
      </w:r>
      <w:r>
        <w:rPr>
          <w:rFonts w:hint="eastAsia" w:hAnsi="宋体"/>
          <w:sz w:val="24"/>
        </w:rPr>
        <w:t xml:space="preserve">吴越祥庭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河道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仲英大道</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河道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大江河路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133.48</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河道西侧</w:t>
      </w:r>
      <w:r>
        <w:rPr>
          <w:rFonts w:hint="eastAsia" w:hAnsi="宋体"/>
          <w:sz w:val="24"/>
        </w:rPr>
        <w:t xml:space="preserve">的“吴越祥庭”住宅区内。该小区内的物业类型包括：</w:t>
      </w:r>
      <w:r>
        <w:rPr>
          <w:rFonts w:hAnsi="宋体"/>
          <w:sz w:val="24"/>
        </w:rPr>
        <w:t xml:space="preserve">普通多层、电梯多层、小高层、高层、联排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吴越祥庭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吴越祥庭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7幢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由于吴越祥庭幢数较少且大多为别墅，市场交易不活跃，片区内可选案例较少，因此选择的案例A，B，C，D，距离在3公里以外。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吴越祥庭住宅2024年1月挂牌均价17113元/平方米，较年初持平。待评估二手房住宅近15个月（2022年11月-2024年01月）挂牌均价波动幅度较小，价格维持在17113-22354元/平方米之间。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均价说明：吴越祥庭小区物业类型包括：普通多层、电梯多层、小高层、高层、联排,房源均价为:17113元/平方米，包含毛坯价值以及附带装修价值。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该房屋为6层住宅楼的第1层，建于2010年，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133.48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2077年06月21日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2024年01月30日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壹万肆仟肆佰捌拾柒元整</w:t>
      </w:r>
      <w:r>
        <w:rPr>
          <w:rFonts w:hint="eastAsia" w:ascii="宋体" w:hAnsi="宋体"/>
          <w:b/>
          <w:bCs/>
          <w:sz w:val="24"/>
        </w:rPr>
        <w:t xml:space="preserve">（RMB </w:t>
      </w:r>
      <w:r>
        <w:rPr>
          <w:rFonts w:ascii="宋体" w:hAnsi="宋体"/>
          <w:b/>
          <w:bCs/>
          <w:sz w:val="24"/>
        </w:rPr>
        <w:t xml:space="preserve">14487</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193.38</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14487</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本次实地查勘期为2024年01月30日，并于当日完成现场查勘。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2024年01月30日</w:t>
      </w:r>
      <w:r>
        <w:rPr>
          <w:rFonts w:hint="eastAsia" w:ascii="宋体"/>
          <w:sz w:val="24"/>
        </w:rPr>
        <w:t xml:space="preserve">至2024年03月20日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吴越祥庭</w:t>
      </w:r>
      <w:r>
        <w:rPr>
          <w:rFonts w:hint="eastAsia" w:hAnsi="宋体"/>
          <w:sz w:val="24"/>
        </w:rPr>
        <w:t xml:space="preserve">”住宅区内的</w:t>
      </w:r>
      <w:r>
        <w:rPr>
          <w:rFonts w:hAnsi="宋体"/>
          <w:sz w:val="24"/>
        </w:rPr>
        <w:t xml:space="preserve">电梯多层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位于仲英大道北侧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仲英大道北侧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附近有711路、718路、721路、722路等多条公交线路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乐购</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吉旺家食材</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实验小学附属吴江明珠幼儿园</w:t>
      </w:r>
      <w:r>
        <w:rPr>
          <w:rFonts w:hint="eastAsia" w:ascii="宋体" w:hAnsi="宋体" w:eastAsia="宋体" w:asciiTheme="minorEastAsia" w:hAnsiTheme="minorEastAsia" w:eastAsiaTheme="minorEastAsia"/>
          <w:sz w:val="24"/>
        </w:rPr>
        <w:t xml:space="preserve">、</w:t>
      </w:r>
      <w:r>
        <w:rPr>
          <w:rFonts w:hAnsi="宋体"/>
          <w:sz w:val="24"/>
        </w:rPr>
        <w:t xml:space="preserve">天和小学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2077年06月21日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河道</w:t>
      </w:r>
      <w:r>
        <w:rPr>
          <w:rFonts w:hint="eastAsia" w:ascii="宋体" w:hAnsi="宋体"/>
          <w:sz w:val="24"/>
        </w:rPr>
        <w:t xml:space="preserve">，南至</w:t>
      </w:r>
      <w:r>
        <w:rPr>
          <w:rFonts w:ascii="宋体" w:hAnsi="宋体"/>
          <w:sz w:val="24"/>
        </w:rPr>
        <w:t xml:space="preserve">仲英大道</w:t>
      </w:r>
      <w:r>
        <w:rPr>
          <w:rFonts w:hint="eastAsia" w:ascii="宋体" w:hAnsi="宋体"/>
          <w:sz w:val="24"/>
        </w:rPr>
        <w:t xml:space="preserve">，西至</w:t>
      </w:r>
      <w:r>
        <w:rPr>
          <w:rFonts w:ascii="宋体" w:hAnsi="宋体"/>
          <w:sz w:val="24"/>
        </w:rPr>
        <w:t xml:space="preserve">河道</w:t>
      </w:r>
      <w:r>
        <w:rPr>
          <w:rFonts w:hint="eastAsia" w:ascii="宋体" w:hAnsi="宋体"/>
          <w:sz w:val="24"/>
        </w:rPr>
        <w:t xml:space="preserve">，北至</w:t>
      </w:r>
      <w:r>
        <w:rPr>
          <w:rFonts w:ascii="宋体" w:hAnsi="宋体"/>
          <w:sz w:val="24"/>
        </w:rPr>
        <w:t xml:space="preserve">大江河路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估价对象为坐落于苏州市吴江区吴越祥庭</w:t>
      </w:r>
      <w:r>
        <w:t xml:space="preserve"> </w:t>
      </w:r>
      <w:r>
        <w:rPr>
          <w:rFonts w:ascii="宋体" w:hAnsi="宋体"/>
          <w:kern w:val="2"/>
          <w:sz w:val="24"/>
        </w:rPr>
        <w:t xml:space="preserve">7幢102室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电梯多层</w:t>
      </w:r>
      <w:r>
        <w:rPr>
          <w:rFonts w:hint="eastAsia" w:hAnsi="宋体"/>
          <w:sz w:val="24"/>
        </w:rPr>
        <w:t xml:space="preserve">建筑，建筑面积为</w:t>
      </w:r>
      <w:r>
        <w:rPr>
          <w:rFonts w:hAnsi="宋体"/>
          <w:sz w:val="24"/>
        </w:rPr>
        <w:t xml:space="preserve">133.48</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6</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2010</w:t>
      </w:r>
      <w:r>
        <w:rPr>
          <w:rFonts w:hint="eastAsia" w:hAnsi="宋体"/>
          <w:sz w:val="24"/>
        </w:rPr>
        <w:t xml:space="preserve">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吴越祥庭住宅2024年1月挂牌均价17113元/平方米，较年初持平。待评估二手房住宅近15个月（2022年11月-2024年01月）挂牌均价波动幅度较小，价格维持在17113-22354元/平方米之间。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7"/>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苏州市吴江区吴越祥庭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s202301030199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s202307170027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s202210310008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s202301030180</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吴江区吴江经济开发区吴越祥庭7幢102室电梯多层住宅标准房基准价格评估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龙庭锦绣花园76幢203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廊桥水岸观邸12幢509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璀璨四季花园37幢505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龙庭锦绣花园3幢602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133.48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101.31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107.13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156.4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126.55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一等（7）</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一等（7）</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2024年01月30日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15398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14935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15856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15977</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指数，吴江区2023年01月至2023年12月住宅月度价格指数表为：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2023年12月30日</w:t>
            </w:r>
          </w:p>
        </w:tc>
        <w:tc>
          <w:tcPr>
            <w:tcW w:w="778" w:type="pct"/>
            <w:shd w:val="clear" w:color="auto" w:fill="FFFFFF"/>
            <w:vAlign w:val="center"/>
          </w:tcPr>
          <w:p>
            <w:pPr>
              <w:jc w:val="center"/>
              <w:rPr/>
            </w:pPr>
            <w:r>
              <w:rPr>
                <w:rFonts w:hint="eastAsia" w:ascii="宋体" w:hAnsi="宋体" w:cs="宋体"/>
              </w:rPr>
              <w:t xml:space="preserve">2022年12月</w:t>
            </w:r>
          </w:p>
        </w:tc>
        <w:tc>
          <w:tcPr>
            <w:tcW w:w="779" w:type="pct"/>
            <w:shd w:val="clear" w:color="auto" w:fill="FFFFFF"/>
            <w:vAlign w:val="center"/>
          </w:tcPr>
          <w:p>
            <w:pPr>
              <w:jc w:val="center"/>
              <w:rPr/>
            </w:pPr>
            <w:r>
              <w:rPr>
                <w:rFonts w:hint="eastAsia" w:ascii="宋体" w:hAnsi="宋体" w:cs="宋体"/>
              </w:rPr>
              <w:t xml:space="preserve">2023年08月</w:t>
            </w:r>
          </w:p>
        </w:tc>
        <w:tc>
          <w:tcPr>
            <w:tcW w:w="779" w:type="pct"/>
            <w:shd w:val="clear" w:color="auto" w:fill="FFFFFF"/>
            <w:vAlign w:val="center"/>
          </w:tcPr>
          <w:p>
            <w:pPr>
              <w:jc w:val="center"/>
              <w:rPr/>
            </w:pPr>
            <w:r>
              <w:rPr>
                <w:rFonts w:hint="eastAsia" w:ascii="宋体" w:hAnsi="宋体" w:cs="宋体"/>
              </w:rPr>
              <w:t xml:space="preserve">2022年11月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15398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15856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15977</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2048</w:t>
            </w:r>
          </w:p>
        </w:tc>
        <w:tc>
          <w:tcPr>
            <w:tcW w:w="778" w:type="pct"/>
            <w:shd w:val="clear" w:color="auto" w:fill="FFFFFF"/>
            <w:vAlign w:val="center"/>
          </w:tcPr>
          <w:p>
            <w:pPr>
              <w:jc w:val="center"/>
              <w:rPr/>
            </w:pPr>
            <w:r>
              <w:rPr>
                <w:rFonts w:hint="eastAsia" w:ascii="宋体" w:hAnsi="宋体" w:cs="宋体"/>
              </w:rPr>
              <w:t xml:space="preserve">1935</w:t>
            </w:r>
          </w:p>
        </w:tc>
        <w:tc>
          <w:tcPr>
            <w:tcW w:w="779" w:type="pct"/>
            <w:shd w:val="clear" w:color="auto" w:fill="FFFFFF"/>
            <w:vAlign w:val="center"/>
          </w:tcPr>
          <w:p>
            <w:pPr>
              <w:jc w:val="center"/>
              <w:rPr/>
            </w:pPr>
            <w:r>
              <w:rPr>
                <w:rFonts w:hint="eastAsia" w:ascii="宋体" w:hAnsi="宋体" w:cs="宋体"/>
              </w:rPr>
              <w:t xml:space="preserve">2072</w:t>
            </w:r>
          </w:p>
        </w:tc>
        <w:tc>
          <w:tcPr>
            <w:tcW w:w="779" w:type="pct"/>
            <w:shd w:val="clear" w:color="auto" w:fill="FFFFFF"/>
            <w:vAlign w:val="center"/>
          </w:tcPr>
          <w:p>
            <w:pPr>
              <w:jc w:val="center"/>
              <w:rPr/>
            </w:pPr>
            <w:r>
              <w:rPr>
                <w:rFonts w:hint="eastAsia" w:ascii="宋体" w:hAnsi="宋体" w:cs="宋体"/>
              </w:rPr>
              <w:t xml:space="preserve">1948</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2048/2048</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2048/1935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2048/2072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2048/1948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2048/1973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1.058</w:t>
            </w:r>
          </w:p>
        </w:tc>
        <w:tc>
          <w:tcPr>
            <w:tcW w:w="779" w:type="pct"/>
            <w:shd w:val="clear" w:color="auto" w:fill="FFFFFF"/>
            <w:vAlign w:val="center"/>
          </w:tcPr>
          <w:p>
            <w:pPr>
              <w:jc w:val="center"/>
              <w:rPr/>
            </w:pPr>
            <w:r>
              <w:rPr>
                <w:rFonts w:hint="eastAsia" w:ascii="宋体" w:hAnsi="宋体" w:cs="宋体"/>
              </w:rPr>
              <w:t xml:space="preserve">0.988</w:t>
            </w:r>
          </w:p>
        </w:tc>
        <w:tc>
          <w:tcPr>
            <w:tcW w:w="779" w:type="pct"/>
            <w:shd w:val="clear" w:color="auto" w:fill="FFFFFF"/>
            <w:vAlign w:val="center"/>
          </w:tcPr>
          <w:p>
            <w:pPr>
              <w:jc w:val="center"/>
              <w:rPr/>
            </w:pPr>
            <w:r>
              <w:rPr>
                <w:rFonts w:hint="eastAsia" w:ascii="宋体" w:hAnsi="宋体" w:cs="宋体"/>
              </w:rPr>
              <w:t xml:space="preserve">1.051</w:t>
            </w:r>
          </w:p>
        </w:tc>
        <w:tc>
          <w:tcPr>
            <w:tcW w:w="779" w:type="pct"/>
            <w:shd w:val="clear" w:color="auto" w:fill="FFFFFF"/>
            <w:vAlign w:val="center"/>
          </w:tcPr>
          <w:p>
            <w:pPr>
              <w:jc w:val="center"/>
              <w:rPr/>
            </w:pPr>
            <w:r>
              <w:rPr>
                <w:rFonts w:hint="eastAsia" w:ascii="宋体" w:hAnsi="宋体" w:cs="宋体"/>
              </w:rPr>
              <w:t xml:space="preserve">0.988</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备注：在价值时点2024年01月30日</w:t>
      </w:r>
      <w:r>
        <w:rPr>
          <w:rFonts w:hint="eastAsia" w:ascii="宋体" w:hAnsi="宋体" w:cs="宋体"/>
          <w:sz w:val="24"/>
          <w:szCs w:val="24"/>
        </w:rPr>
        <w:t xml:space="preserve">，2024年01月份价格指数尚未公布，本次估价采用2023年12月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1"/>
            <o:lock v:ext="edit" aspectratio="t"/>
          </v:shape>
          <o:OLEObject Type="Embed" ProgID="Equation.3" ShapeID="_x0000_i0003" DrawAspect="Content" ObjectID="_724046315"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吴江区吴江经济开发区吴越祥庭7幢102室电梯多层住宅标准房基准价格评估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龙庭锦绣花园76幢203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廊桥水岸观邸12幢509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璀璨四季花园37幢505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龙庭锦绣花园3幢602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133.48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101.31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107.13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156.4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126.55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111.24</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107.5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0.9256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0.9128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0.9171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0.9256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0.8842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0.9421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15398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14935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15856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15977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15156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15052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15398</w:t>
            </w:r>
          </w:p>
        </w:tc>
        <w:tc>
          <w:tcPr>
            <w:tcW w:w="922" w:type="pct"/>
            <w:shd w:val="clear" w:color="auto" w:fill="auto"/>
            <w:vAlign w:val="center"/>
          </w:tcPr>
          <w:p>
            <w:pPr>
              <w:jc w:val="center"/>
              <w:rPr>
                <w:rFonts w:ascii="宋体" w:hAnsi="宋体" w:cs="宋体"/>
              </w:rPr>
            </w:pPr>
            <w:r>
              <w:rPr>
                <w:rFonts w:hint="eastAsia" w:ascii="宋体" w:hAnsi="宋体" w:cs="宋体"/>
              </w:rPr>
              <w:t xml:space="preserve">14935</w:t>
            </w:r>
          </w:p>
        </w:tc>
        <w:tc>
          <w:tcPr>
            <w:tcW w:w="922" w:type="pct"/>
            <w:shd w:val="clear" w:color="auto" w:fill="auto"/>
            <w:vAlign w:val="center"/>
          </w:tcPr>
          <w:p>
            <w:pPr>
              <w:jc w:val="center"/>
              <w:rPr>
                <w:rFonts w:ascii="宋体" w:hAnsi="宋体" w:cs="宋体"/>
              </w:rPr>
            </w:pPr>
            <w:r>
              <w:rPr>
                <w:rFonts w:hint="eastAsia" w:ascii="宋体" w:hAnsi="宋体" w:cs="宋体"/>
              </w:rPr>
              <w:t xml:space="preserve">15856</w:t>
            </w:r>
          </w:p>
        </w:tc>
        <w:tc>
          <w:tcPr>
            <w:tcW w:w="922" w:type="pct"/>
            <w:shd w:val="clear" w:color="auto" w:fill="auto"/>
            <w:vAlign w:val="center"/>
          </w:tcPr>
          <w:p>
            <w:pPr>
              <w:jc w:val="center"/>
              <w:rPr>
                <w:rFonts w:ascii="宋体" w:hAnsi="宋体" w:cs="宋体"/>
              </w:rPr>
            </w:pPr>
            <w:r>
              <w:rPr>
                <w:rFonts w:hint="eastAsia" w:ascii="宋体" w:hAnsi="宋体" w:cs="宋体"/>
              </w:rPr>
              <w:t xml:space="preserve">15977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1.058</w:t>
            </w:r>
          </w:p>
        </w:tc>
        <w:tc>
          <w:tcPr>
            <w:tcW w:w="922" w:type="pct"/>
            <w:shd w:val="clear" w:color="auto" w:fill="auto"/>
            <w:vAlign w:val="center"/>
          </w:tcPr>
          <w:p>
            <w:pPr>
              <w:jc w:val="center"/>
              <w:rPr>
                <w:rFonts w:ascii="宋体" w:hAnsi="宋体" w:cs="宋体"/>
              </w:rPr>
            </w:pPr>
            <w:r>
              <w:rPr>
                <w:rFonts w:hint="eastAsia" w:ascii="宋体" w:hAnsi="宋体" w:cs="宋体"/>
              </w:rPr>
              <w:t xml:space="preserve">0.988</w:t>
            </w:r>
          </w:p>
        </w:tc>
        <w:tc>
          <w:tcPr>
            <w:tcW w:w="922" w:type="pct"/>
            <w:shd w:val="clear" w:color="auto" w:fill="auto"/>
            <w:vAlign w:val="center"/>
          </w:tcPr>
          <w:p>
            <w:pPr>
              <w:jc w:val="center"/>
              <w:rPr>
                <w:rFonts w:ascii="宋体" w:hAnsi="宋体" w:cs="宋体"/>
              </w:rPr>
            </w:pPr>
            <w:r>
              <w:rPr>
                <w:rFonts w:hint="eastAsia" w:ascii="宋体" w:hAnsi="宋体" w:cs="宋体"/>
              </w:rPr>
              <w:t xml:space="preserve">1.051</w:t>
            </w:r>
          </w:p>
        </w:tc>
        <w:tc>
          <w:tcPr>
            <w:tcW w:w="922" w:type="pct"/>
            <w:shd w:val="clear" w:color="auto" w:fill="auto"/>
            <w:vAlign w:val="center"/>
          </w:tcPr>
          <w:p>
            <w:pPr>
              <w:jc w:val="center"/>
              <w:rPr>
                <w:rFonts w:ascii="宋体" w:hAnsi="宋体" w:cs="宋体"/>
              </w:rPr>
            </w:pPr>
            <w:r>
              <w:rPr>
                <w:rFonts w:hint="eastAsia" w:ascii="宋体" w:hAnsi="宋体" w:cs="宋体"/>
              </w:rPr>
              <w:t xml:space="preserve">1.038</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109.08/108.53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109.08/111.24</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99.5/107.5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99.5/109</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99.5/108.5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99.5/107.5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0.9843</w:t>
            </w:r>
          </w:p>
        </w:tc>
        <w:tc>
          <w:tcPr>
            <w:tcW w:w="922" w:type="pct"/>
            <w:shd w:val="clear" w:color="auto" w:fill="auto"/>
            <w:vAlign w:val="center"/>
          </w:tcPr>
          <w:p>
            <w:pPr>
              <w:jc w:val="center"/>
              <w:rPr>
                <w:rFonts w:ascii="宋体" w:hAnsi="宋体" w:cs="宋体"/>
              </w:rPr>
            </w:pPr>
            <w:r>
              <w:rPr>
                <w:rFonts w:hint="eastAsia" w:ascii="宋体" w:hAnsi="宋体" w:cs="宋体"/>
              </w:rPr>
              <w:t xml:space="preserve">0.8842</w:t>
            </w:r>
          </w:p>
        </w:tc>
        <w:tc>
          <w:tcPr>
            <w:tcW w:w="922" w:type="pct"/>
            <w:shd w:val="clear" w:color="auto" w:fill="auto"/>
            <w:vAlign w:val="center"/>
          </w:tcPr>
          <w:p>
            <w:pPr>
              <w:jc w:val="center"/>
              <w:rPr>
                <w:rFonts w:ascii="宋体" w:hAnsi="宋体" w:cs="宋体"/>
              </w:rPr>
            </w:pPr>
            <w:r>
              <w:rPr>
                <w:rFonts w:hint="eastAsia" w:ascii="宋体" w:hAnsi="宋体" w:cs="宋体"/>
              </w:rPr>
              <w:t xml:space="preserve">0.9356</w:t>
            </w:r>
          </w:p>
        </w:tc>
        <w:tc>
          <w:tcPr>
            <w:tcW w:w="922" w:type="pct"/>
            <w:shd w:val="clear" w:color="auto" w:fill="auto"/>
            <w:vAlign w:val="center"/>
          </w:tcPr>
          <w:p>
            <w:pPr>
              <w:jc w:val="center"/>
              <w:rPr>
                <w:rFonts w:ascii="宋体" w:hAnsi="宋体" w:cs="宋体"/>
              </w:rPr>
            </w:pPr>
            <w:r>
              <w:rPr>
                <w:rFonts w:hint="eastAsia" w:ascii="宋体" w:hAnsi="宋体" w:cs="宋体"/>
              </w:rPr>
              <w:t xml:space="preserve">0.9421</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15156</w:t>
            </w:r>
          </w:p>
        </w:tc>
        <w:tc>
          <w:tcPr>
            <w:tcW w:w="922" w:type="pct"/>
            <w:shd w:val="clear" w:color="auto" w:fill="auto"/>
            <w:vAlign w:val="center"/>
          </w:tcPr>
          <w:p>
            <w:pPr>
              <w:jc w:val="center"/>
              <w:rPr>
                <w:rFonts w:ascii="宋体" w:hAnsi="宋体" w:cs="宋体"/>
              </w:rPr>
            </w:pPr>
            <w:r>
              <w:rPr>
                <w:rFonts w:hint="eastAsia" w:ascii="宋体" w:hAnsi="宋体" w:cs="宋体"/>
              </w:rPr>
              <w:t xml:space="preserve">13206</w:t>
            </w:r>
          </w:p>
        </w:tc>
        <w:tc>
          <w:tcPr>
            <w:tcW w:w="922" w:type="pct"/>
            <w:shd w:val="clear" w:color="auto" w:fill="auto"/>
            <w:vAlign w:val="center"/>
          </w:tcPr>
          <w:p>
            <w:pPr>
              <w:jc w:val="center"/>
              <w:rPr>
                <w:rFonts w:ascii="宋体" w:hAnsi="宋体" w:cs="宋体"/>
              </w:rPr>
            </w:pPr>
            <w:r>
              <w:rPr>
                <w:rFonts w:hint="eastAsia" w:ascii="宋体" w:hAnsi="宋体" w:cs="宋体"/>
              </w:rPr>
              <w:t xml:space="preserve">14835</w:t>
            </w:r>
          </w:p>
        </w:tc>
        <w:tc>
          <w:tcPr>
            <w:tcW w:w="922" w:type="pct"/>
            <w:shd w:val="clear" w:color="auto" w:fill="auto"/>
            <w:vAlign w:val="center"/>
          </w:tcPr>
          <w:p>
            <w:pPr>
              <w:jc w:val="center"/>
              <w:rPr>
                <w:rFonts w:ascii="宋体" w:hAnsi="宋体" w:cs="宋体"/>
              </w:rPr>
            </w:pPr>
            <w:r>
              <w:rPr>
                <w:rFonts w:hint="eastAsia" w:ascii="宋体" w:hAnsi="宋体" w:cs="宋体"/>
              </w:rPr>
              <w:t xml:space="preserve">15052</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15156</w:t>
            </w:r>
          </w:p>
        </w:tc>
        <w:tc>
          <w:tcPr>
            <w:tcW w:w="922" w:type="pct"/>
            <w:shd w:val="clear" w:color="auto" w:fill="auto"/>
            <w:vAlign w:val="center"/>
          </w:tcPr>
          <w:p>
            <w:pPr>
              <w:jc w:val="center"/>
              <w:rPr>
                <w:rFonts w:ascii="宋体" w:hAnsi="宋体" w:cs="宋体"/>
              </w:rPr>
            </w:pPr>
            <w:r>
              <w:rPr>
                <w:rFonts w:hint="eastAsia" w:ascii="宋体" w:hAnsi="宋体" w:cs="宋体"/>
              </w:rPr>
              <w:t xml:space="preserve">13206</w:t>
            </w:r>
          </w:p>
        </w:tc>
        <w:tc>
          <w:tcPr>
            <w:tcW w:w="922" w:type="pct"/>
            <w:shd w:val="clear" w:color="auto" w:fill="auto"/>
            <w:vAlign w:val="center"/>
          </w:tcPr>
          <w:p>
            <w:pPr>
              <w:jc w:val="center"/>
              <w:rPr>
                <w:rFonts w:ascii="宋体" w:hAnsi="宋体" w:cs="宋体"/>
              </w:rPr>
            </w:pPr>
            <w:r>
              <w:rPr>
                <w:rFonts w:hint="eastAsia" w:ascii="宋体" w:hAnsi="宋体" w:cs="宋体"/>
              </w:rPr>
              <w:t xml:space="preserve">14535</w:t>
            </w:r>
          </w:p>
        </w:tc>
        <w:tc>
          <w:tcPr>
            <w:tcW w:w="922" w:type="pct"/>
            <w:shd w:val="clear" w:color="auto" w:fill="auto"/>
            <w:vAlign w:val="center"/>
          </w:tcPr>
          <w:p>
            <w:pPr>
              <w:jc w:val="center"/>
              <w:rPr>
                <w:rFonts w:ascii="宋体" w:hAnsi="宋体" w:cs="宋体"/>
              </w:rPr>
            </w:pPr>
            <w:r>
              <w:rPr>
                <w:rFonts w:hint="eastAsia" w:ascii="宋体" w:hAnsi="宋体" w:cs="宋体"/>
              </w:rPr>
              <w:t xml:space="preserve">15052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14487</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s202301030199</w:t>
            </w:r>
          </w:p>
        </w:tc>
        <w:tc>
          <w:tcPr>
            <w:tcW w:w="1842" w:type="dxa"/>
            <w:vAlign w:val="center"/>
          </w:tcPr>
          <w:p>
            <w:pPr>
              <w:jc w:val="center"/>
              <w:rPr/>
            </w:pPr>
            <w:r>
              <w:rPr>
                <w:rFonts w:hint="eastAsia" w:ascii="宋体" w:hAnsi="宋体" w:cs="宋体"/>
              </w:rPr>
              <w:t xml:space="preserve">s202307170027</w:t>
            </w:r>
          </w:p>
        </w:tc>
        <w:tc>
          <w:tcPr>
            <w:tcW w:w="1843" w:type="dxa"/>
            <w:vAlign w:val="center"/>
          </w:tcPr>
          <w:p>
            <w:pPr>
              <w:jc w:val="center"/>
              <w:rPr/>
            </w:pPr>
            <w:r>
              <w:rPr>
                <w:rFonts w:hint="eastAsia" w:ascii="宋体" w:hAnsi="宋体" w:cs="宋体"/>
              </w:rPr>
              <w:t xml:space="preserve">s202210310008</w:t>
            </w:r>
          </w:p>
        </w:tc>
        <w:tc>
          <w:tcPr>
            <w:tcW w:w="1985" w:type="dxa"/>
            <w:vAlign w:val="center"/>
          </w:tcPr>
          <w:p>
            <w:pPr>
              <w:jc w:val="center"/>
              <w:rPr/>
            </w:pPr>
            <w:r>
              <w:rPr>
                <w:rFonts w:hint="eastAsia" w:ascii="宋体" w:hAnsi="宋体" w:cs="宋体"/>
              </w:rPr>
              <w:t xml:space="preserve">s202301030180</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龙庭锦绣花园76幢203</w:t>
            </w:r>
          </w:p>
        </w:tc>
        <w:tc>
          <w:tcPr>
            <w:tcW w:w="1842" w:type="dxa"/>
            <w:vAlign w:val="center"/>
          </w:tcPr>
          <w:p>
            <w:pPr>
              <w:jc w:val="center"/>
              <w:rPr/>
            </w:pPr>
            <w:r>
              <w:rPr>
                <w:rFonts w:hint="eastAsia" w:ascii="宋体" w:hAnsi="宋体" w:cs="宋体"/>
              </w:rPr>
              <w:t xml:space="preserve">廊桥水岸观邸12幢509</w:t>
            </w:r>
          </w:p>
        </w:tc>
        <w:tc>
          <w:tcPr>
            <w:tcW w:w="1843" w:type="dxa"/>
            <w:vAlign w:val="center"/>
          </w:tcPr>
          <w:p>
            <w:pPr>
              <w:jc w:val="center"/>
              <w:rPr/>
            </w:pPr>
            <w:r>
              <w:rPr>
                <w:rFonts w:hint="eastAsia" w:ascii="宋体" w:hAnsi="宋体" w:cs="宋体"/>
              </w:rPr>
              <w:t xml:space="preserve">璀璨四季花园37幢505</w:t>
            </w:r>
          </w:p>
        </w:tc>
        <w:tc>
          <w:tcPr>
            <w:tcW w:w="1985" w:type="dxa"/>
            <w:vAlign w:val="center"/>
          </w:tcPr>
          <w:p>
            <w:pPr>
              <w:jc w:val="center"/>
              <w:rPr/>
            </w:pPr>
            <w:r>
              <w:rPr>
                <w:rFonts w:hint="eastAsia" w:ascii="宋体" w:hAnsi="宋体" w:cs="宋体"/>
              </w:rPr>
              <w:t xml:space="preserve">龙庭锦绣花园3幢602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龙庭锦绣花园76幢203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廊桥水岸观邸12幢509</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璀璨四季花园37幢505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龙庭锦绣花园3幢602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