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苏吴地评税字(2024)吴江第00088号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南长安花园高层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2024年03月15日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估价对象位于苏州市吴江区区域范围内的南长安花园住宅小区高层存量房。该小区内的物业类型包括：</w:t>
      </w:r>
      <w:r>
        <w:rPr>
          <w:rFonts w:ascii="宋体"/>
          <w:sz w:val="24"/>
        </w:rPr>
        <w:t xml:space="preserve">高层、叠加、双拼</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月修订版），结合估价人员现场查勘，选取南长安花园</w:t>
      </w:r>
      <w:r>
        <w:rPr>
          <w:rFonts w:ascii="宋体"/>
          <w:sz w:val="24"/>
        </w:rPr>
        <w:t xml:space="preserve">106幢102室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35</w:t>
      </w:r>
      <w:r>
        <w:rPr>
          <w:rFonts w:hint="eastAsia" w:ascii="宋体"/>
          <w:sz w:val="24"/>
        </w:rPr>
        <w:t xml:space="preserve">层，建筑面积</w:t>
      </w:r>
      <w:r>
        <w:rPr>
          <w:rFonts w:ascii="宋体"/>
          <w:sz w:val="24"/>
        </w:rPr>
        <w:t xml:space="preserve">141.69</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2015</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2080年10月08日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2024年03月01日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2024年03月01日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壹万叁仟伍佰贰拾叁元整</w:t>
      </w:r>
      <w:r>
        <w:rPr>
          <w:rFonts w:hint="eastAsia" w:ascii="宋体" w:hAnsi="宋体"/>
          <w:b/>
          <w:bCs/>
          <w:sz w:val="24"/>
        </w:rPr>
        <w:t xml:space="preserve">（RMB</w:t>
      </w:r>
      <w:r>
        <w:rPr>
          <w:rFonts w:ascii="宋体" w:hAnsi="宋体"/>
          <w:b/>
          <w:bCs/>
          <w:sz w:val="24"/>
        </w:rPr>
        <w:t xml:space="preserve"> 13523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2024年03月15日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2024年03月15日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2024年03月15日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2024年03月15日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5.本报告作为整体使用时有效。若房地产市场无重大波动，本估价报告自出具日起一年内有效，从2024年03月15日至</w:t>
      </w:r>
      <w:r>
        <w:rPr>
          <w:rFonts w:ascii="宋体" w:hAnsi="宋体"/>
          <w:sz w:val="24"/>
        </w:rPr>
        <w:t xml:space="preserve">2025年03月14日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估价对象为南长安花园</w:t>
      </w:r>
      <w:r>
        <w:rPr>
          <w:rFonts w:ascii="宋体" w:hAnsi="宋体"/>
          <w:sz w:val="24"/>
        </w:rPr>
        <w:t xml:space="preserve">106幢102室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河流西侧</w:t>
      </w:r>
      <w:r>
        <w:rPr>
          <w:rFonts w:hint="eastAsia" w:hAnsi="宋体"/>
          <w:sz w:val="24"/>
        </w:rPr>
        <w:t xml:space="preserve">的“南长安花园”住宅区内。</w:t>
      </w:r>
      <w:r>
        <w:rPr>
          <w:rFonts w:hint="eastAsia" w:ascii="宋体" w:hAnsi="宋体"/>
          <w:sz w:val="24"/>
        </w:rPr>
        <w:t xml:space="preserve">估价对象东至</w:t>
      </w:r>
      <w:r>
        <w:rPr>
          <w:rFonts w:ascii="宋体" w:hAnsi="宋体"/>
          <w:sz w:val="24"/>
          <w:szCs w:val="24"/>
        </w:rPr>
        <w:t xml:space="preserve">河流</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华邦中央花园</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联杨路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长板路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141.69</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河流西侧</w:t>
      </w:r>
      <w:r>
        <w:rPr>
          <w:rFonts w:hint="eastAsia" w:hAnsi="宋体"/>
          <w:sz w:val="24"/>
        </w:rPr>
        <w:t xml:space="preserve">的“南长安花园”住宅区内。该小区内的物业类型包括：</w:t>
      </w:r>
      <w:r>
        <w:rPr>
          <w:rFonts w:hAnsi="宋体"/>
          <w:sz w:val="24"/>
        </w:rPr>
        <w:t xml:space="preserve">高层、叠加、双拼</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南长安花园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“南长安花园”小区</w:t>
            </w:r>
            <w:r>
              <w:rPr>
                <w:rFonts w:ascii="Cambria" w:hAnsi="宋体" w:eastAsia="黑体" w:cs="Times New Roman" w:asciiTheme="majorHAnsi" w:cstheme="majorBidi"/>
                <w:sz w:val="15"/>
                <w:szCs w:val="15"/>
              </w:rPr>
              <w:t xml:space="preserve">106幢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由于南长安花园幢数较少且大多为别墅，市场交易不活跃，片区内可选案例较少，因此选择的案例A，B，C，D，距离在3公里以外。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南长安花园住宅2024年3月挂牌均价18228元/平方米，较年初持平。待评估二手房住宅近8个月（2023年08月-2024年03月）挂牌均价波动幅度较小，价格维持在18228-19180元/平方米之间。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均价说明：南长安花园小区物业类型包括：高层、叠加、双拼,房源均价为:18228元/平方米，包含毛坯价值以及附带装修价值。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该房屋为35层住宅楼的第1层，建于2015年，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141.69</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2080年10月08日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2024年03月01日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壹万叁仟伍佰贰拾叁元整</w:t>
      </w:r>
      <w:r>
        <w:rPr>
          <w:rFonts w:hint="eastAsia" w:ascii="宋体" w:hAnsi="宋体"/>
          <w:b/>
          <w:bCs/>
          <w:sz w:val="24"/>
        </w:rPr>
        <w:t xml:space="preserve">（RMB </w:t>
      </w:r>
      <w:r>
        <w:rPr>
          <w:rFonts w:ascii="宋体" w:hAnsi="宋体"/>
          <w:b/>
          <w:bCs/>
          <w:sz w:val="24"/>
        </w:rPr>
        <w:t xml:space="preserve">13523</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191.60</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13523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2024年03月15日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2024年03月15日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本次实地查勘期为2024年03月01日，并于当日完成现场查勘。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2024年03月01日</w:t>
      </w:r>
      <w:r>
        <w:rPr>
          <w:rFonts w:hint="eastAsia" w:ascii="宋体"/>
          <w:sz w:val="24"/>
        </w:rPr>
        <w:t xml:space="preserve">至2024年03月15日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估价对象为苏州市吴江区“南长安花园”住宅区内的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联杨路东侧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联杨路东侧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附近有702路、705路、734路等多条公交线路</w:t>
      </w:r>
      <w:r>
        <w:rPr>
          <w:rFonts w:hint="eastAsia" w:hAnsi="宋体"/>
          <w:sz w:val="24"/>
        </w:rPr>
        <w:t xml:space="preserve">，</w:t>
      </w:r>
      <w:r>
        <w:rPr>
          <w:rFonts w:hAnsi="宋体"/>
          <w:sz w:val="24"/>
        </w:rPr>
        <w:t xml:space="preserve">至公交站点的距离约为300米，公交班次平均隔10分钟有一辆汽车通过。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大润发(吴江南店)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上海银行(吴江支行)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丰源农贸市场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长安花苑幼儿园</w:t>
      </w:r>
      <w:r>
        <w:rPr>
          <w:rFonts w:hint="eastAsia" w:ascii="宋体" w:hAnsi="宋体" w:eastAsia="宋体" w:asciiTheme="minorEastAsia" w:hAnsiTheme="minorEastAsia" w:eastAsiaTheme="minorEastAsia"/>
          <w:sz w:val="24"/>
        </w:rPr>
        <w:t xml:space="preserve">、</w:t>
      </w:r>
      <w:r>
        <w:rPr>
          <w:rFonts w:hAnsi="宋体"/>
          <w:sz w:val="24"/>
        </w:rPr>
        <w:t xml:space="preserve">长安花苑小学</w:t>
      </w:r>
      <w:r>
        <w:rPr>
          <w:rFonts w:hint="eastAsia" w:hAnsi="宋体"/>
          <w:sz w:val="24"/>
        </w:rPr>
        <w:t xml:space="preserve">、</w:t>
      </w:r>
      <w:r>
        <w:rPr>
          <w:rFonts w:hAnsi="宋体"/>
          <w:sz w:val="24"/>
        </w:rPr>
        <w:t xml:space="preserve">笠泽实验初级中学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2080年10月08日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河流</w:t>
      </w:r>
      <w:r>
        <w:rPr>
          <w:rFonts w:hint="eastAsia" w:ascii="宋体" w:hAnsi="宋体"/>
          <w:sz w:val="24"/>
        </w:rPr>
        <w:t xml:space="preserve">，南至</w:t>
      </w:r>
      <w:r>
        <w:rPr>
          <w:rFonts w:ascii="宋体" w:hAnsi="宋体"/>
          <w:sz w:val="24"/>
        </w:rPr>
        <w:t xml:space="preserve">华邦中央花园</w:t>
      </w:r>
      <w:r>
        <w:rPr>
          <w:rFonts w:hint="eastAsia" w:ascii="宋体" w:hAnsi="宋体"/>
          <w:sz w:val="24"/>
        </w:rPr>
        <w:t xml:space="preserve">，西至</w:t>
      </w:r>
      <w:r>
        <w:rPr>
          <w:rFonts w:ascii="宋体" w:hAnsi="宋体"/>
          <w:sz w:val="24"/>
        </w:rPr>
        <w:t xml:space="preserve">联杨路</w:t>
      </w:r>
      <w:r>
        <w:rPr>
          <w:rFonts w:hint="eastAsia" w:ascii="宋体" w:hAnsi="宋体"/>
          <w:sz w:val="24"/>
        </w:rPr>
        <w:t xml:space="preserve">，北至</w:t>
      </w:r>
      <w:r>
        <w:rPr>
          <w:rFonts w:ascii="宋体" w:hAnsi="宋体"/>
          <w:sz w:val="24"/>
        </w:rPr>
        <w:t xml:space="preserve">长板路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估价对象为坐落于苏州市吴江区南长安花园</w:t>
      </w:r>
      <w:r>
        <w:t xml:space="preserve"> </w:t>
      </w:r>
      <w:r>
        <w:rPr>
          <w:rFonts w:ascii="宋体" w:hAnsi="宋体"/>
          <w:kern w:val="2"/>
          <w:sz w:val="24"/>
        </w:rPr>
        <w:t xml:space="preserve">106幢102室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估价对象为高层建筑，建筑面积为</w:t>
      </w:r>
      <w:r>
        <w:rPr>
          <w:rFonts w:hAnsi="宋体"/>
          <w:sz w:val="24"/>
        </w:rPr>
        <w:t xml:space="preserve">141.69</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估价对象建成于2015年，基础较为稳固，未见沉降；墙面、地面、门窗等保养完好，综合保养成新度为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2024年第一季度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南长安花园住宅2024年3月挂牌均价18228元/平方米，较年初持平。待评估二手房住宅近8个月（2023年08月-2024年03月）挂牌均价波动幅度较小，价格维持在18228-19180元/平方米之间。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苏州市吴江区南长安花园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F32050920230034416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F32050920230037026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s202309010025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s202310170084</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吴江区松陵镇南长安花园106幢102室高层住宅标准房基准价格评估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南长安花园105幢1203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廊桥水岸观邸11幢1802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长安花园30幢404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卓锦花园1幢1801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141.69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189.79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135.41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141.88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4/30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18/20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2024年03月01日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14819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14683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14731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15226</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指数，吴江区2023年03月至2024年02月住宅月度价格指数表为：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2024年02月01日</w:t>
            </w:r>
          </w:p>
        </w:tc>
        <w:tc>
          <w:tcPr>
            <w:tcW w:w="778" w:type="pct"/>
            <w:shd w:val="clear" w:color="auto" w:fill="FFFFFF"/>
            <w:vAlign w:val="center"/>
          </w:tcPr>
          <w:p>
            <w:pPr>
              <w:jc w:val="center"/>
            </w:pPr>
            <w:r>
              <w:rPr>
                <w:rFonts w:hint="eastAsia" w:ascii="宋体" w:hAnsi="宋体" w:cs="宋体"/>
              </w:rPr>
              <w:t xml:space="preserve">2023年08月</w:t>
            </w:r>
          </w:p>
        </w:tc>
        <w:tc>
          <w:tcPr>
            <w:tcW w:w="779" w:type="pct"/>
            <w:shd w:val="clear" w:color="auto" w:fill="FFFFFF"/>
            <w:vAlign w:val="center"/>
          </w:tcPr>
          <w:p>
            <w:pPr>
              <w:jc w:val="center"/>
            </w:pPr>
            <w:r>
              <w:rPr>
                <w:rFonts w:hint="eastAsia" w:ascii="宋体" w:hAnsi="宋体" w:cs="宋体"/>
              </w:rPr>
              <w:t xml:space="preserve">2023年10月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2023年10月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14819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14683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14731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15226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1990</w:t>
            </w:r>
          </w:p>
        </w:tc>
        <w:tc>
          <w:tcPr>
            <w:tcW w:w="778" w:type="pct"/>
            <w:shd w:val="clear" w:color="auto" w:fill="FFFFFF"/>
            <w:vAlign w:val="center"/>
          </w:tcPr>
          <w:p>
            <w:pPr>
              <w:jc w:val="center"/>
            </w:pPr>
            <w:r>
              <w:rPr>
                <w:rFonts w:hint="eastAsia" w:ascii="宋体" w:hAnsi="宋体" w:cs="宋体"/>
              </w:rPr>
              <w:t xml:space="preserve">2072</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1990/1990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w:t>
            </w:r>
          </w:p>
        </w:tc>
        <w:tc>
          <w:tcPr>
            <w:tcW w:w="779" w:type="pct"/>
            <w:shd w:val="clear" w:color="auto" w:fill="FFFFFF"/>
            <w:vAlign w:val="center"/>
          </w:tcPr>
          <w:p>
            <w:pPr>
              <w:jc w:val="center"/>
            </w:pPr>
            <w:r>
              <w:rPr>
                <w:rFonts w:hint="eastAsia" w:ascii="宋体" w:hAnsi="宋体" w:cs="宋体"/>
              </w:rPr>
              <w:t xml:space="preserve">0.973</w:t>
            </w:r>
          </w:p>
        </w:tc>
        <w:tc>
          <w:tcPr>
            <w:tcW w:w="779" w:type="pct"/>
            <w:shd w:val="clear" w:color="auto" w:fill="FFFFFF"/>
            <w:vAlign w:val="center"/>
          </w:tcPr>
          <w:p>
            <w:pPr>
              <w:jc w:val="center"/>
            </w:pPr>
            <w:r>
              <w:rPr>
                <w:rFonts w:hint="eastAsia" w:ascii="宋体" w:hAnsi="宋体" w:cs="宋体"/>
              </w:rPr>
              <w:t xml:space="preserve">0.973</w:t>
            </w:r>
          </w:p>
        </w:tc>
        <w:tc>
          <w:tcPr>
            <w:tcW w:w="779" w:type="pct"/>
            <w:shd w:val="clear" w:color="auto" w:fill="FFFFFF"/>
            <w:vAlign w:val="center"/>
          </w:tcPr>
          <w:p>
            <w:pPr>
              <w:jc w:val="center"/>
            </w:pPr>
            <w:r>
              <w:rPr>
                <w:rFonts w:hint="eastAsia" w:ascii="宋体" w:hAnsi="宋体" w:cs="宋体"/>
              </w:rPr>
              <w:t xml:space="preserve">0.973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备注：在价值时点2024年03月01日</w:t>
      </w:r>
      <w:r>
        <w:rPr>
          <w:rFonts w:hint="eastAsia" w:ascii="宋体" w:hAnsi="宋体" w:cs="宋体"/>
          <w:sz w:val="24"/>
          <w:szCs w:val="24"/>
        </w:rPr>
        <w:t xml:space="preserve">，2024年03月份价格指数尚未公布，本次估价采用2024年02月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775570415"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吴江区松陵镇南长安花园106幢102室高层住宅标准房基准价格评估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南长安花园105幢1203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廊桥水岸观邸11幢1802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长安花园30幢404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卓锦花园1幢1801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141.69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189.79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135.41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141.88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101.8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118.35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118.35</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0.9386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0.9217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0.9011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0.8968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0.8923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14819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14683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14731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15226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13168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13586</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14819</w:t>
            </w:r>
          </w:p>
        </w:tc>
        <w:tc>
          <w:tcPr>
            <w:tcW w:w="922" w:type="pct"/>
            <w:shd w:val="clear" w:color="auto" w:fill="auto"/>
            <w:vAlign w:val="center"/>
          </w:tcPr>
          <w:p>
            <w:pPr>
              <w:jc w:val="center"/>
              <w:rPr>
                <w:rFonts w:ascii="宋体" w:hAnsi="宋体" w:cs="宋体"/>
              </w:rPr>
            </w:pPr>
            <w:r>
              <w:rPr>
                <w:rFonts w:hint="eastAsia" w:ascii="宋体" w:hAnsi="宋体" w:cs="宋体"/>
              </w:rPr>
              <w:t xml:space="preserve">14683</w:t>
            </w:r>
          </w:p>
        </w:tc>
        <w:tc>
          <w:tcPr>
            <w:tcW w:w="922" w:type="pct"/>
            <w:shd w:val="clear" w:color="auto" w:fill="auto"/>
            <w:vAlign w:val="center"/>
          </w:tcPr>
          <w:p>
            <w:pPr>
              <w:jc w:val="center"/>
              <w:rPr>
                <w:rFonts w:ascii="宋体" w:hAnsi="宋体" w:cs="宋体"/>
              </w:rPr>
            </w:pPr>
            <w:r>
              <w:rPr>
                <w:rFonts w:hint="eastAsia" w:ascii="宋体" w:hAnsi="宋体" w:cs="宋体"/>
              </w:rPr>
              <w:t xml:space="preserve">14731</w:t>
            </w:r>
          </w:p>
        </w:tc>
        <w:tc>
          <w:tcPr>
            <w:tcW w:w="922" w:type="pct"/>
            <w:shd w:val="clear" w:color="auto" w:fill="auto"/>
            <w:vAlign w:val="center"/>
          </w:tcPr>
          <w:p>
            <w:pPr>
              <w:jc w:val="center"/>
              <w:rPr>
                <w:rFonts w:ascii="宋体" w:hAnsi="宋体" w:cs="宋体"/>
              </w:rPr>
            </w:pPr>
            <w:r>
              <w:rPr>
                <w:rFonts w:hint="eastAsia" w:ascii="宋体" w:hAnsi="宋体" w:cs="宋体"/>
              </w:rPr>
              <w:t xml:space="preserve">15226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109.08/116.22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109.08/118.35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109.08/111.81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109.08/118.35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0.9011</w:t>
            </w:r>
          </w:p>
        </w:tc>
        <w:tc>
          <w:tcPr>
            <w:tcW w:w="922" w:type="pct"/>
            <w:shd w:val="clear" w:color="auto" w:fill="auto"/>
            <w:vAlign w:val="center"/>
          </w:tcPr>
          <w:p>
            <w:pPr>
              <w:jc w:val="center"/>
              <w:rPr>
                <w:rFonts w:ascii="宋体" w:hAnsi="宋体" w:cs="宋体"/>
              </w:rPr>
            </w:pPr>
            <w:r>
              <w:rPr>
                <w:rFonts w:hint="eastAsia" w:ascii="宋体" w:hAnsi="宋体" w:cs="宋体"/>
              </w:rPr>
              <w:t xml:space="preserve">0.8968</w:t>
            </w:r>
          </w:p>
        </w:tc>
        <w:tc>
          <w:tcPr>
            <w:tcW w:w="922" w:type="pct"/>
            <w:shd w:val="clear" w:color="auto" w:fill="auto"/>
            <w:vAlign w:val="center"/>
          </w:tcPr>
          <w:p>
            <w:pPr>
              <w:jc w:val="center"/>
              <w:rPr>
                <w:rFonts w:ascii="宋体" w:hAnsi="宋体" w:cs="宋体"/>
              </w:rPr>
            </w:pPr>
            <w:r>
              <w:rPr>
                <w:rFonts w:hint="eastAsia" w:ascii="宋体" w:hAnsi="宋体" w:cs="宋体"/>
              </w:rPr>
              <w:t xml:space="preserve">0.9493</w:t>
            </w:r>
          </w:p>
        </w:tc>
        <w:tc>
          <w:tcPr>
            <w:tcW w:w="922" w:type="pct"/>
            <w:shd w:val="clear" w:color="auto" w:fill="auto"/>
            <w:vAlign w:val="center"/>
          </w:tcPr>
          <w:p>
            <w:pPr>
              <w:jc w:val="center"/>
              <w:rPr>
                <w:rFonts w:ascii="宋体" w:hAnsi="宋体" w:cs="宋体"/>
              </w:rPr>
            </w:pPr>
            <w:r>
              <w:rPr>
                <w:rFonts w:hint="eastAsia" w:ascii="宋体" w:hAnsi="宋体" w:cs="宋体"/>
              </w:rPr>
              <w:t xml:space="preserve">0.8923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13353</w:t>
            </w:r>
          </w:p>
        </w:tc>
        <w:tc>
          <w:tcPr>
            <w:tcW w:w="922" w:type="pct"/>
            <w:shd w:val="clear" w:color="auto" w:fill="auto"/>
            <w:vAlign w:val="center"/>
          </w:tcPr>
          <w:p>
            <w:pPr>
              <w:jc w:val="center"/>
              <w:rPr>
                <w:rFonts w:ascii="宋体" w:hAnsi="宋体" w:cs="宋体"/>
              </w:rPr>
            </w:pPr>
            <w:r>
              <w:rPr>
                <w:rFonts w:hint="eastAsia" w:ascii="宋体" w:hAnsi="宋体" w:cs="宋体"/>
              </w:rPr>
              <w:t xml:space="preserve">13168</w:t>
            </w:r>
          </w:p>
        </w:tc>
        <w:tc>
          <w:tcPr>
            <w:tcW w:w="922" w:type="pct"/>
            <w:shd w:val="clear" w:color="auto" w:fill="auto"/>
            <w:vAlign w:val="center"/>
          </w:tcPr>
          <w:p>
            <w:pPr>
              <w:jc w:val="center"/>
              <w:rPr>
                <w:rFonts w:ascii="宋体" w:hAnsi="宋体" w:cs="宋体"/>
              </w:rPr>
            </w:pPr>
            <w:r>
              <w:rPr>
                <w:rFonts w:hint="eastAsia" w:ascii="宋体" w:hAnsi="宋体" w:cs="宋体"/>
              </w:rPr>
              <w:t xml:space="preserve">13984</w:t>
            </w:r>
          </w:p>
        </w:tc>
        <w:tc>
          <w:tcPr>
            <w:tcW w:w="922" w:type="pct"/>
            <w:shd w:val="clear" w:color="auto" w:fill="auto"/>
            <w:vAlign w:val="center"/>
          </w:tcPr>
          <w:p>
            <w:pPr>
              <w:jc w:val="center"/>
              <w:rPr>
                <w:rFonts w:ascii="宋体" w:hAnsi="宋体" w:cs="宋体"/>
              </w:rPr>
            </w:pPr>
            <w:r>
              <w:rPr>
                <w:rFonts w:hint="eastAsia" w:ascii="宋体" w:hAnsi="宋体" w:cs="宋体"/>
              </w:rPr>
              <w:t xml:space="preserve">13586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13353</w:t>
            </w:r>
          </w:p>
        </w:tc>
        <w:tc>
          <w:tcPr>
            <w:tcW w:w="922" w:type="pct"/>
            <w:shd w:val="clear" w:color="auto" w:fill="auto"/>
            <w:vAlign w:val="center"/>
          </w:tcPr>
          <w:p>
            <w:pPr>
              <w:jc w:val="center"/>
              <w:rPr>
                <w:rFonts w:ascii="宋体" w:hAnsi="宋体" w:cs="宋体"/>
              </w:rPr>
            </w:pPr>
            <w:r>
              <w:rPr>
                <w:rFonts w:hint="eastAsia" w:ascii="宋体" w:hAnsi="宋体" w:cs="宋体"/>
              </w:rPr>
              <w:t xml:space="preserve">13168</w:t>
            </w:r>
          </w:p>
        </w:tc>
        <w:tc>
          <w:tcPr>
            <w:tcW w:w="922" w:type="pct"/>
            <w:shd w:val="clear" w:color="auto" w:fill="auto"/>
            <w:vAlign w:val="center"/>
          </w:tcPr>
          <w:p>
            <w:pPr>
              <w:jc w:val="center"/>
              <w:rPr>
                <w:rFonts w:ascii="宋体" w:hAnsi="宋体" w:cs="宋体"/>
              </w:rPr>
            </w:pPr>
            <w:r>
              <w:rPr>
                <w:rFonts w:hint="eastAsia" w:ascii="宋体" w:hAnsi="宋体" w:cs="宋体"/>
              </w:rPr>
              <w:t xml:space="preserve">13984</w:t>
            </w:r>
          </w:p>
        </w:tc>
        <w:tc>
          <w:tcPr>
            <w:tcW w:w="922" w:type="pct"/>
            <w:shd w:val="clear" w:color="auto" w:fill="auto"/>
            <w:vAlign w:val="center"/>
          </w:tcPr>
          <w:p>
            <w:pPr>
              <w:jc w:val="center"/>
              <w:rPr>
                <w:rFonts w:ascii="宋体" w:hAnsi="宋体" w:cs="宋体"/>
              </w:rPr>
            </w:pPr>
            <w:r>
              <w:rPr>
                <w:rFonts w:hint="eastAsia" w:ascii="宋体" w:hAnsi="宋体" w:cs="宋体"/>
              </w:rPr>
              <w:t xml:space="preserve">13586</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13523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F32050920230034416</w:t>
            </w:r>
          </w:p>
        </w:tc>
        <w:tc>
          <w:tcPr>
            <w:tcW w:w="1842" w:type="dxa"/>
            <w:vAlign w:val="center"/>
          </w:tcPr>
          <w:p>
            <w:pPr>
              <w:jc w:val="center"/>
            </w:pPr>
            <w:r>
              <w:rPr>
                <w:rFonts w:hint="eastAsia" w:ascii="宋体" w:hAnsi="宋体" w:cs="宋体"/>
              </w:rPr>
              <w:t xml:space="preserve">F32050920230037026</w:t>
            </w:r>
          </w:p>
        </w:tc>
        <w:tc>
          <w:tcPr>
            <w:tcW w:w="1843" w:type="dxa"/>
            <w:vAlign w:val="center"/>
          </w:tcPr>
          <w:p>
            <w:pPr>
              <w:jc w:val="center"/>
            </w:pPr>
            <w:r>
              <w:rPr>
                <w:rFonts w:hint="eastAsia" w:ascii="宋体" w:hAnsi="宋体" w:cs="宋体"/>
              </w:rPr>
              <w:t xml:space="preserve">s202309010025</w:t>
            </w:r>
          </w:p>
        </w:tc>
        <w:tc>
          <w:tcPr>
            <w:tcW w:w="1985" w:type="dxa"/>
            <w:vAlign w:val="center"/>
          </w:tcPr>
          <w:p>
            <w:pPr>
              <w:jc w:val="center"/>
            </w:pPr>
            <w:r>
              <w:rPr>
                <w:rFonts w:hint="eastAsia" w:ascii="宋体" w:hAnsi="宋体" w:cs="宋体"/>
              </w:rPr>
              <w:t xml:space="preserve">s202310170084</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南长安花园105幢1203</w:t>
            </w:r>
          </w:p>
        </w:tc>
        <w:tc>
          <w:tcPr>
            <w:tcW w:w="1842" w:type="dxa"/>
            <w:vAlign w:val="center"/>
          </w:tcPr>
          <w:p>
            <w:pPr>
              <w:jc w:val="center"/>
            </w:pPr>
            <w:r>
              <w:rPr>
                <w:rFonts w:hint="eastAsia" w:ascii="宋体" w:hAnsi="宋体" w:cs="宋体"/>
              </w:rPr>
              <w:t xml:space="preserve">廊桥水岸观邸11幢1802</w:t>
            </w:r>
          </w:p>
        </w:tc>
        <w:tc>
          <w:tcPr>
            <w:tcW w:w="1843" w:type="dxa"/>
            <w:vAlign w:val="center"/>
          </w:tcPr>
          <w:p>
            <w:pPr>
              <w:jc w:val="center"/>
            </w:pPr>
            <w:r>
              <w:rPr>
                <w:rFonts w:hint="eastAsia" w:ascii="宋体" w:hAnsi="宋体" w:cs="宋体"/>
              </w:rPr>
              <w:t xml:space="preserve">长安花园30幢404</w:t>
            </w:r>
          </w:p>
        </w:tc>
        <w:tc>
          <w:tcPr>
            <w:tcW w:w="1985" w:type="dxa"/>
            <w:vAlign w:val="center"/>
          </w:tcPr>
          <w:p>
            <w:pPr>
              <w:jc w:val="center"/>
            </w:pPr>
            <w:r>
              <w:rPr>
                <w:rFonts w:hint="eastAsia" w:ascii="宋体" w:hAnsi="宋体" w:cs="宋体"/>
              </w:rPr>
              <w:t xml:space="preserve">卓锦花园1幢1801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南长安花园105幢1203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廊桥水岸观邸11幢1802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长安花园30幢404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卓锦花园1幢1801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