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苏吴地评税字(2024)吴江第00303号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竹景苑小高层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估价对象位于苏州市吴江区区域范围内的竹景苑住宅小区小高层存量房。该小区内的物业类型包括：</w:t>
      </w:r>
      <w:r>
        <w:rPr>
          <w:rFonts w:ascii="宋体"/>
          <w:sz w:val="24"/>
        </w:rPr>
        <w:t xml:space="preserve">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月修订版），结合估价人员现场查勘，选取竹景苑</w:t>
      </w:r>
      <w:r>
        <w:rPr>
          <w:rFonts w:ascii="宋体"/>
          <w:sz w:val="24"/>
        </w:rPr>
        <w:t xml:space="preserve">13幢105</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9</w:t>
      </w:r>
      <w:r>
        <w:rPr>
          <w:rFonts w:hint="eastAsia" w:ascii="宋体"/>
          <w:sz w:val="24"/>
        </w:rPr>
        <w:t xml:space="preserve">层，建筑面积</w:t>
      </w:r>
      <w:r>
        <w:rPr>
          <w:rFonts w:ascii="宋体"/>
          <w:sz w:val="24"/>
        </w:rPr>
        <w:t xml:space="preserve">74.32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2088年04月08日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2024年03月25日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壹万叁仟柒佰肆拾贰元整</w:t>
      </w:r>
      <w:r>
        <w:rPr>
          <w:rFonts w:hint="eastAsia" w:ascii="宋体" w:hAnsi="宋体"/>
          <w:b/>
          <w:bCs/>
          <w:sz w:val="24"/>
        </w:rPr>
        <w:t xml:space="preserve">（RMB</w:t>
      </w:r>
      <w:r>
        <w:rPr>
          <w:rFonts w:ascii="宋体" w:hAnsi="宋体"/>
          <w:b/>
          <w:bCs/>
          <w:sz w:val="24"/>
        </w:rPr>
        <w:t xml:space="preserve"> 13742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2024年03月29日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5.本报告作为整体使用时有效。若房地产市场无重大波动，本估价报告自出具日起一年内有效，从2024年03月29日至</w:t>
      </w:r>
      <w:r>
        <w:rPr>
          <w:rFonts w:ascii="宋体" w:hAnsi="宋体"/>
          <w:sz w:val="24"/>
        </w:rPr>
        <w:t xml:space="preserve">2025年03月28日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估价对象为竹景苑</w:t>
      </w:r>
      <w:r>
        <w:rPr>
          <w:rFonts w:ascii="宋体" w:hAnsi="宋体"/>
          <w:sz w:val="24"/>
        </w:rPr>
        <w:t xml:space="preserve">13幢105</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的“竹景苑”住宅区内。</w:t>
      </w:r>
      <w:r>
        <w:rPr>
          <w:rFonts w:hint="eastAsia" w:ascii="宋体" w:hAnsi="宋体"/>
          <w:sz w:val="24"/>
        </w:rPr>
        <w:t xml:space="preserve">估价对象东至</w:t>
      </w:r>
      <w:r>
        <w:rPr>
          <w:rFonts w:ascii="宋体" w:hAnsi="宋体"/>
          <w:sz w:val="24"/>
          <w:szCs w:val="24"/>
        </w:rPr>
        <w:t xml:space="preserve">梅石路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流虹路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苏州河路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油车路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74.32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的“竹景苑”住宅区内。该小区内的物业类型包括：</w:t>
      </w:r>
      <w:r>
        <w:rPr>
          <w:rFonts w:hAnsi="宋体"/>
          <w:sz w:val="24"/>
        </w:rPr>
        <w:t xml:space="preserve">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竹景苑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“竹景苑”小区</w:t>
            </w:r>
            <w:r>
              <w:rPr>
                <w:rFonts w:ascii="Cambria" w:hAnsi="宋体" w:eastAsia="黑体" w:cs="Times New Roman" w:asciiTheme="majorHAnsi" w:cstheme="majorBidi"/>
                <w:sz w:val="15"/>
                <w:szCs w:val="15"/>
              </w:rPr>
              <w:t xml:space="preserve">13幢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由于竹景苑市场交易不活跃，片区内可选案例较少，因此选择的案例A，B，C，D，距离在3公里以外。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竹景苑住宅2024年3月挂牌均价20957元/平方米，较年初持平。待评估二手房住宅近7个月（2023年09月-2024年03月）挂牌均价波动幅度较小，价格维持在20957-23584元/平方米之间。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均价说明：竹景苑小区物业类型包括：小高层,房源均价为:20957元/平方米，包含毛坯价值以及附带装修价值。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该房屋为9层住宅楼的第1层，建于2020年，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74.32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2088年04月08日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2024年03月25日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壹万叁仟柒佰肆拾贰元整</w:t>
      </w:r>
      <w:r>
        <w:rPr>
          <w:rFonts w:hint="eastAsia" w:ascii="宋体" w:hAnsi="宋体"/>
          <w:b/>
          <w:bCs/>
          <w:sz w:val="24"/>
        </w:rPr>
        <w:t xml:space="preserve">（RMB </w:t>
      </w:r>
      <w:r>
        <w:rPr>
          <w:rFonts w:ascii="宋体" w:hAnsi="宋体"/>
          <w:b/>
          <w:bCs/>
          <w:sz w:val="24"/>
        </w:rPr>
        <w:t xml:space="preserve">13742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102.13</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13742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本次实地查勘期为2024年03月25日，并于当日完成现场查勘。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2024年03月25日</w:t>
      </w:r>
      <w:r>
        <w:rPr>
          <w:rFonts w:hint="eastAsia" w:ascii="宋体"/>
          <w:sz w:val="24"/>
        </w:rPr>
        <w:t xml:space="preserve">至2024年03月29日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估价对象为苏州市吴江区“竹景苑”住宅区内的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位于苏州河路东侧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苏州河路东侧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附近有707路、711路、713路及地铁4号线等多条公交线</w:t>
      </w:r>
      <w:r>
        <w:rPr>
          <w:rFonts w:hint="eastAsia" w:hAnsi="宋体"/>
          <w:sz w:val="24"/>
        </w:rPr>
        <w:t xml:space="preserve">，</w:t>
      </w:r>
      <w:r>
        <w:rPr>
          <w:rFonts w:hAnsi="宋体"/>
          <w:sz w:val="24"/>
        </w:rPr>
        <w:t xml:space="preserve">至公交站点的距离约为160米，公交班次平均隔10分钟有一辆汽车通过。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欧德福生活购物广场</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城西农贸市场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2088年04月08日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梅石路</w:t>
      </w:r>
      <w:r>
        <w:rPr>
          <w:rFonts w:hint="eastAsia" w:ascii="宋体" w:hAnsi="宋体"/>
          <w:sz w:val="24"/>
        </w:rPr>
        <w:t xml:space="preserve">，南至</w:t>
      </w:r>
      <w:r>
        <w:rPr>
          <w:rFonts w:ascii="宋体" w:hAnsi="宋体"/>
          <w:sz w:val="24"/>
        </w:rPr>
        <w:t xml:space="preserve">流虹路</w:t>
      </w:r>
      <w:r>
        <w:rPr>
          <w:rFonts w:hint="eastAsia" w:ascii="宋体" w:hAnsi="宋体"/>
          <w:sz w:val="24"/>
        </w:rPr>
        <w:t xml:space="preserve">，西至</w:t>
      </w:r>
      <w:r>
        <w:rPr>
          <w:rFonts w:ascii="宋体" w:hAnsi="宋体"/>
          <w:sz w:val="24"/>
        </w:rPr>
        <w:t xml:space="preserve">苏州河路</w:t>
      </w:r>
      <w:r>
        <w:rPr>
          <w:rFonts w:hint="eastAsia" w:ascii="宋体" w:hAnsi="宋体"/>
          <w:sz w:val="24"/>
        </w:rPr>
        <w:t xml:space="preserve">，北至</w:t>
      </w:r>
      <w:r>
        <w:rPr>
          <w:rFonts w:ascii="宋体" w:hAnsi="宋体"/>
          <w:sz w:val="24"/>
        </w:rPr>
        <w:t xml:space="preserve">油车路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估价对象为坐落于苏州市吴江区竹景苑</w:t>
      </w:r>
      <w:r>
        <w:t xml:space="preserve"> </w:t>
      </w:r>
      <w:r>
        <w:rPr>
          <w:rFonts w:ascii="宋体" w:hAnsi="宋体"/>
          <w:kern w:val="2"/>
          <w:sz w:val="24"/>
        </w:rPr>
        <w:t xml:space="preserve">13幢105</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估价对象为小高层建筑，建筑面积为</w:t>
      </w:r>
      <w:r>
        <w:rPr>
          <w:rFonts w:hAnsi="宋体"/>
          <w:sz w:val="24"/>
        </w:rPr>
        <w:t xml:space="preserve">74.32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3层数、层高：估价对象位于总楼层为9层的第1层，层高约2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估价对象建成于2020年，基础较为稳固，未见沉降；墙面、地面、门窗等保养完好，综合保养成新度为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竹景苑住宅2024年3月挂牌均价20957元/平方米，较年初持平。待评估二手房住宅近7个月（2023年09月-2024年03月）挂牌均价波动幅度较小，价格维持在20957-23584元/平方米之间。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苏州市吴江区竹景苑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F32050920230037203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F32050920230033841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S202309110054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s202312060111</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吴江区松陵镇竹景苑13幢105小高层住宅标准房基准价格评估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幸福苑7幢1502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幸福苑6幢1002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幸福苑11幢702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太湖鼎城2幢805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106.38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106.39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133.27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15/15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2024年03月25日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14663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14632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2024年02月25日</w:t>
            </w:r>
          </w:p>
        </w:tc>
        <w:tc>
          <w:tcPr>
            <w:tcW w:w="778"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14602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14663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14330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14632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1990</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0.972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备注：在价值时点2024年03月25日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13749158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吴江区松陵镇竹景苑13幢105小高层住宅标准房基准价格评估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幸福苑7幢1502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幸福苑6幢1002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幸福苑11幢702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太湖鼎城2幢805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106.39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133.27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110.64</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14330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14632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13614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14602</w:t>
            </w:r>
          </w:p>
        </w:tc>
        <w:tc>
          <w:tcPr>
            <w:tcW w:w="922" w:type="pct"/>
            <w:shd w:val="clear" w:color="auto" w:fill="auto"/>
            <w:vAlign w:val="center"/>
          </w:tcPr>
          <w:p>
            <w:pPr>
              <w:jc w:val="center"/>
              <w:rPr>
                <w:rFonts w:ascii="宋体" w:hAnsi="宋体" w:cs="宋体"/>
              </w:rPr>
            </w:pPr>
            <w:r>
              <w:rPr>
                <w:rFonts w:hint="eastAsia" w:ascii="宋体" w:hAnsi="宋体" w:cs="宋体"/>
              </w:rPr>
              <w:t xml:space="preserve">14663</w:t>
            </w:r>
          </w:p>
        </w:tc>
        <w:tc>
          <w:tcPr>
            <w:tcW w:w="922" w:type="pct"/>
            <w:shd w:val="clear" w:color="auto" w:fill="auto"/>
            <w:vAlign w:val="center"/>
          </w:tcPr>
          <w:p>
            <w:pPr>
              <w:jc w:val="center"/>
              <w:rPr>
                <w:rFonts w:ascii="宋体" w:hAnsi="宋体" w:cs="宋体"/>
              </w:rPr>
            </w:pPr>
            <w:r>
              <w:rPr>
                <w:rFonts w:hint="eastAsia" w:ascii="宋体" w:hAnsi="宋体" w:cs="宋体"/>
              </w:rPr>
              <w:t xml:space="preserve">14330</w:t>
            </w:r>
          </w:p>
        </w:tc>
        <w:tc>
          <w:tcPr>
            <w:tcW w:w="922" w:type="pct"/>
            <w:shd w:val="clear" w:color="auto" w:fill="auto"/>
            <w:vAlign w:val="center"/>
          </w:tcPr>
          <w:p>
            <w:pPr>
              <w:jc w:val="center"/>
              <w:rPr>
                <w:rFonts w:ascii="宋体" w:hAnsi="宋体" w:cs="宋体"/>
              </w:rPr>
            </w:pPr>
            <w:r>
              <w:rPr>
                <w:rFonts w:hint="eastAsia" w:ascii="宋体" w:hAnsi="宋体" w:cs="宋体"/>
              </w:rPr>
              <w:t xml:space="preserve">14632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109.08/110.64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0.9322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0.9501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0.9639</w:t>
            </w:r>
          </w:p>
        </w:tc>
        <w:tc>
          <w:tcPr>
            <w:tcW w:w="922" w:type="pct"/>
            <w:shd w:val="clear" w:color="auto" w:fill="auto"/>
            <w:vAlign w:val="center"/>
          </w:tcPr>
          <w:p>
            <w:pPr>
              <w:jc w:val="center"/>
              <w:rPr>
                <w:rFonts w:ascii="宋体" w:hAnsi="宋体" w:cs="宋体"/>
              </w:rPr>
            </w:pPr>
            <w:r>
              <w:rPr>
                <w:rFonts w:hint="eastAsia" w:ascii="宋体" w:hAnsi="宋体" w:cs="宋体"/>
              </w:rPr>
              <w:t xml:space="preserve">0.9304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13612</w:t>
            </w:r>
          </w:p>
        </w:tc>
        <w:tc>
          <w:tcPr>
            <w:tcW w:w="922" w:type="pct"/>
            <w:shd w:val="clear" w:color="auto" w:fill="auto"/>
            <w:vAlign w:val="center"/>
          </w:tcPr>
          <w:p>
            <w:pPr>
              <w:jc w:val="center"/>
              <w:rPr>
                <w:rFonts w:ascii="宋体" w:hAnsi="宋体" w:cs="宋体"/>
              </w:rPr>
            </w:pPr>
            <w:r>
              <w:rPr>
                <w:rFonts w:hint="eastAsia" w:ascii="宋体" w:hAnsi="宋体" w:cs="宋体"/>
              </w:rPr>
              <w:t xml:space="preserve">13931</w:t>
            </w:r>
          </w:p>
        </w:tc>
        <w:tc>
          <w:tcPr>
            <w:tcW w:w="922" w:type="pct"/>
            <w:shd w:val="clear" w:color="auto" w:fill="auto"/>
            <w:vAlign w:val="center"/>
          </w:tcPr>
          <w:p>
            <w:pPr>
              <w:jc w:val="center"/>
              <w:rPr>
                <w:rFonts w:ascii="宋体" w:hAnsi="宋体" w:cs="宋体"/>
              </w:rPr>
            </w:pPr>
            <w:r>
              <w:rPr>
                <w:rFonts w:hint="eastAsia" w:ascii="宋体" w:hAnsi="宋体" w:cs="宋体"/>
              </w:rPr>
              <w:t xml:space="preserve">13813</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13612</w:t>
            </w:r>
          </w:p>
        </w:tc>
        <w:tc>
          <w:tcPr>
            <w:tcW w:w="922" w:type="pct"/>
            <w:shd w:val="clear" w:color="auto" w:fill="auto"/>
            <w:vAlign w:val="center"/>
          </w:tcPr>
          <w:p>
            <w:pPr>
              <w:jc w:val="center"/>
              <w:rPr>
                <w:rFonts w:ascii="宋体" w:hAnsi="宋体" w:cs="宋体"/>
              </w:rPr>
            </w:pPr>
            <w:r>
              <w:rPr>
                <w:rFonts w:hint="eastAsia" w:ascii="宋体" w:hAnsi="宋体" w:cs="宋体"/>
              </w:rPr>
              <w:t xml:space="preserve">13931</w:t>
            </w:r>
          </w:p>
        </w:tc>
        <w:tc>
          <w:tcPr>
            <w:tcW w:w="922" w:type="pct"/>
            <w:shd w:val="clear" w:color="auto" w:fill="auto"/>
            <w:vAlign w:val="center"/>
          </w:tcPr>
          <w:p>
            <w:pPr>
              <w:jc w:val="center"/>
              <w:rPr>
                <w:rFonts w:ascii="宋体" w:hAnsi="宋体" w:cs="宋体"/>
              </w:rPr>
            </w:pPr>
            <w:r>
              <w:rPr>
                <w:rFonts w:hint="eastAsia" w:ascii="宋体" w:hAnsi="宋体" w:cs="宋体"/>
              </w:rPr>
              <w:t xml:space="preserve">13813</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13742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F32050920230037203</w:t>
            </w:r>
          </w:p>
        </w:tc>
        <w:tc>
          <w:tcPr>
            <w:tcW w:w="1842" w:type="dxa"/>
            <w:vAlign w:val="center"/>
          </w:tcPr>
          <w:p>
            <w:pPr>
              <w:jc w:val="center"/>
            </w:pPr>
            <w:r>
              <w:rPr>
                <w:rFonts w:hint="eastAsia" w:ascii="宋体" w:hAnsi="宋体" w:cs="宋体"/>
              </w:rPr>
              <w:t xml:space="preserve">F32050920230033841</w:t>
            </w:r>
          </w:p>
        </w:tc>
        <w:tc>
          <w:tcPr>
            <w:tcW w:w="1843" w:type="dxa"/>
            <w:vAlign w:val="center"/>
          </w:tcPr>
          <w:p>
            <w:pPr>
              <w:jc w:val="center"/>
            </w:pPr>
            <w:r>
              <w:rPr>
                <w:rFonts w:hint="eastAsia" w:ascii="宋体" w:hAnsi="宋体" w:cs="宋体"/>
              </w:rPr>
              <w:t xml:space="preserve">S202309110054</w:t>
            </w:r>
          </w:p>
        </w:tc>
        <w:tc>
          <w:tcPr>
            <w:tcW w:w="1985" w:type="dxa"/>
            <w:vAlign w:val="center"/>
          </w:tcPr>
          <w:p>
            <w:pPr>
              <w:jc w:val="center"/>
            </w:pPr>
            <w:r>
              <w:rPr>
                <w:rFonts w:hint="eastAsia" w:ascii="宋体" w:hAnsi="宋体" w:cs="宋体"/>
              </w:rPr>
              <w:t xml:space="preserve">s202312060111</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幸福苑7幢1502</w:t>
            </w:r>
          </w:p>
        </w:tc>
        <w:tc>
          <w:tcPr>
            <w:tcW w:w="1842" w:type="dxa"/>
            <w:vAlign w:val="center"/>
          </w:tcPr>
          <w:p>
            <w:pPr>
              <w:jc w:val="center"/>
            </w:pPr>
            <w:r>
              <w:rPr>
                <w:rFonts w:hint="eastAsia" w:ascii="宋体" w:hAnsi="宋体" w:cs="宋体"/>
              </w:rPr>
              <w:t xml:space="preserve">幸福苑6幢1002</w:t>
            </w:r>
          </w:p>
        </w:tc>
        <w:tc>
          <w:tcPr>
            <w:tcW w:w="1843" w:type="dxa"/>
            <w:vAlign w:val="center"/>
          </w:tcPr>
          <w:p>
            <w:pPr>
              <w:jc w:val="center"/>
            </w:pPr>
            <w:r>
              <w:rPr>
                <w:rFonts w:hint="eastAsia" w:ascii="宋体" w:hAnsi="宋体" w:cs="宋体"/>
              </w:rPr>
              <w:t xml:space="preserve">幸福苑11幢702</w:t>
            </w:r>
          </w:p>
        </w:tc>
        <w:tc>
          <w:tcPr>
            <w:tcW w:w="1985" w:type="dxa"/>
            <w:vAlign w:val="center"/>
          </w:tcPr>
          <w:p>
            <w:pPr>
              <w:jc w:val="center"/>
            </w:pPr>
            <w:r>
              <w:rPr>
                <w:rFonts w:hint="eastAsia" w:ascii="宋体" w:hAnsi="宋体" w:cs="宋体"/>
              </w:rPr>
              <w:t xml:space="preserve">太湖鼎城2幢805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幸福苑7幢1502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幸福苑6幢1002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幸福苑11幢702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太湖鼎城2幢805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