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苏吴地评税字(2024)吴江第00318号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绿苑叠加</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2024年04月25日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rsidSect="00486FF8">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估价对象位于苏州市吴江区区域范围内的绿苑住宅小区叠加存量房。该小区内的物业类型包括：</w:t>
      </w:r>
      <w:r>
        <w:rPr>
          <w:rFonts w:ascii="宋体"/>
          <w:sz w:val="24"/>
        </w:rPr>
        <w:t xml:space="preserve">叠加</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月修订版），结合估价人员现场查勘，选取绿苑</w:t>
      </w:r>
      <w:r>
        <w:rPr>
          <w:rFonts w:ascii="宋体"/>
          <w:sz w:val="24"/>
        </w:rPr>
        <w:t xml:space="preserve">8幢102室</w:t>
      </w:r>
      <w:r>
        <w:rPr>
          <w:rFonts w:hint="eastAsia" w:ascii="宋体"/>
          <w:sz w:val="24"/>
        </w:rPr>
        <w:t xml:space="preserve">为该小区</w:t>
      </w:r>
      <w:r>
        <w:rPr>
          <w:rFonts w:ascii="宋体"/>
          <w:sz w:val="24"/>
        </w:rPr>
        <w:t xml:space="preserve">钢混结构</w:t>
      </w:r>
      <w:r>
        <w:rPr>
          <w:rFonts w:hint="eastAsia" w:ascii="宋体"/>
          <w:sz w:val="24"/>
        </w:rPr>
        <w:t xml:space="preserve">叠加的标准样本房，所在楼层</w:t>
      </w:r>
      <w:r>
        <w:rPr>
          <w:rFonts w:ascii="宋体"/>
          <w:sz w:val="24"/>
        </w:rPr>
        <w:t xml:space="preserve">1-2</w:t>
      </w:r>
      <w:r>
        <w:rPr>
          <w:rFonts w:hint="eastAsia" w:ascii="宋体"/>
          <w:sz w:val="24"/>
        </w:rPr>
        <w:t xml:space="preserve">层</w:t>
      </w:r>
      <w:r>
        <w:rPr>
          <w:rFonts w:hint="eastAsia" w:ascii="宋体"/>
          <w:sz w:val="24"/>
        </w:rPr>
        <w:t xml:space="preserve">，总层数</w:t>
      </w:r>
      <w:r>
        <w:rPr>
          <w:rFonts w:ascii="宋体"/>
          <w:sz w:val="24"/>
        </w:rPr>
        <w:t xml:space="preserve">36</w:t>
      </w:r>
      <w:r>
        <w:rPr>
          <w:rFonts w:hint="eastAsia" w:ascii="宋体"/>
          <w:sz w:val="24"/>
        </w:rPr>
        <w:t xml:space="preserve">层，建筑面积</w:t>
      </w:r>
      <w:r>
        <w:rPr>
          <w:rFonts w:ascii="宋体"/>
          <w:sz w:val="24"/>
        </w:rPr>
        <w:t xml:space="preserve">147.67</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无</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2024年04月17日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2024年04月17日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壹万贰仟贰佰捌拾肆元整</w:t>
      </w:r>
      <w:r>
        <w:rPr>
          <w:rFonts w:hint="eastAsia" w:ascii="宋体" w:hAnsi="宋体"/>
          <w:b/>
          <w:bCs/>
          <w:sz w:val="24"/>
        </w:rPr>
        <w:t xml:space="preserve">（RMB</w:t>
      </w:r>
      <w:r>
        <w:rPr>
          <w:rFonts w:ascii="宋体" w:hAnsi="宋体"/>
          <w:b/>
          <w:bCs/>
          <w:sz w:val="24"/>
        </w:rPr>
        <w:t xml:space="preserve"> 12284</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2024年04月25日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2024年04月25日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2024年04月25日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5.本报告作为整体使用时有效。若房地产市场无重大波动，本估价报告自出具日起一年内有效，从2024年04月25日至</w:t>
      </w:r>
      <w:r>
        <w:rPr>
          <w:rFonts w:ascii="宋体" w:hAnsi="宋体"/>
          <w:sz w:val="24"/>
        </w:rPr>
        <w:t xml:space="preserve">2025年04月24日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绿苑</w:t>
      </w:r>
      <w:r>
        <w:rPr>
          <w:rFonts w:ascii="宋体" w:hAnsi="宋体"/>
          <w:sz w:val="24"/>
        </w:rPr>
        <w:t xml:space="preserve">8幢102室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秋枫街西侧</w:t>
      </w:r>
      <w:r>
        <w:rPr>
          <w:rFonts w:hint="eastAsia" w:hAnsi="宋体"/>
          <w:sz w:val="24"/>
        </w:rPr>
        <w:t xml:space="preserve">的“</w:t>
      </w:r>
      <w:r>
        <w:rPr>
          <w:rFonts w:hint="eastAsia" w:hAnsi="宋体"/>
          <w:sz w:val="24"/>
        </w:rPr>
        <w:t xml:space="preserve">绿苑</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秋枫街</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庞杨路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夏蓉街</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三船路港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147.67</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秋枫街西侧</w:t>
      </w:r>
      <w:r>
        <w:rPr>
          <w:rFonts w:hint="eastAsia" w:hAnsi="宋体"/>
          <w:sz w:val="24"/>
        </w:rPr>
        <w:t xml:space="preserve">的“绿苑”住宅区内。该小区内的物业类型包括：</w:t>
      </w:r>
      <w:r>
        <w:rPr>
          <w:rFonts w:hAnsi="宋体"/>
          <w:sz w:val="24"/>
        </w:rPr>
        <w:t xml:space="preserve">叠加</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绿苑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绿苑</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8幢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由于绿苑幢数较少，市场交易不活跃，片区内可选案例较少，因此选择的案例A，B，C，D，距离在3公里以外。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绿苑住宅2024年4月挂牌均价20860元/平方米，较年初持平。待评估二手房住宅近12个月（2023年05月-2024年04月）挂牌均价波动幅度较小，价格维持在20860-22381元/平方米之间。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均价说明：绿苑小区物业类型包括：叠加,房源均价为:20860元/平方米，包含毛坯价值以及附带装修价值。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7"/>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该房屋为36层住宅楼的第1-2层，建于2018年，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147.67</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无</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2024年04月17日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壹万贰仟贰佰捌拾肆元整</w:t>
      </w:r>
      <w:r>
        <w:rPr>
          <w:rFonts w:hint="eastAsia" w:ascii="宋体" w:hAnsi="宋体"/>
          <w:b/>
          <w:bCs/>
          <w:sz w:val="24"/>
        </w:rPr>
        <w:t xml:space="preserve">（RMB </w:t>
      </w:r>
      <w:r>
        <w:rPr>
          <w:rFonts w:ascii="宋体" w:hAnsi="宋体"/>
          <w:b/>
          <w:bCs/>
          <w:sz w:val="24"/>
        </w:rPr>
        <w:t xml:space="preserve">12284</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181.40</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12284</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2024年04月25日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本次实地查勘期为2024年04月17日，并于当日完成现场查勘。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2024年04月17日</w:t>
      </w:r>
      <w:r>
        <w:rPr>
          <w:rFonts w:hint="eastAsia" w:ascii="宋体"/>
          <w:sz w:val="24"/>
        </w:rPr>
        <w:t xml:space="preserve">至2024年04月25日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绿苑</w:t>
      </w:r>
      <w:r>
        <w:rPr>
          <w:rFonts w:hint="eastAsia" w:hAnsi="宋体"/>
          <w:sz w:val="24"/>
        </w:rPr>
        <w:t xml:space="preserve">”住宅区内的</w:t>
      </w:r>
      <w:r>
        <w:rPr>
          <w:rFonts w:hAnsi="宋体"/>
          <w:sz w:val="24"/>
        </w:rPr>
        <w:t xml:space="preserve">叠加</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估价对象位于所在建筑物第1-2层。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位于夏蓉街东侧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夏蓉街东侧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附近有715、721、726、776等多条公交线路</w:t>
      </w:r>
      <w:r>
        <w:rPr>
          <w:rFonts w:hint="eastAsia" w:hAnsi="宋体"/>
          <w:sz w:val="24"/>
        </w:rPr>
        <w:t xml:space="preserve">，</w:t>
      </w:r>
      <w:r>
        <w:rPr>
          <w:rFonts w:hAnsi="宋体"/>
          <w:sz w:val="24"/>
        </w:rPr>
        <w:t xml:space="preserve">至公交站点的距离约为350米，公交班次平均隔10分钟有一辆汽车通过。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世纪华联超市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苏州银行(联杨邻里中心)</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联杨农贸市场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青橙绿苑幼儿园</w:t>
      </w:r>
      <w:r>
        <w:rPr>
          <w:rFonts w:hint="eastAsia" w:ascii="宋体" w:hAnsi="宋体" w:eastAsia="宋体" w:asciiTheme="minorEastAsia" w:hAnsiTheme="minorEastAsia" w:eastAsiaTheme="minorEastAsia"/>
          <w:sz w:val="24"/>
        </w:rPr>
        <w:t xml:space="preserve">、</w:t>
      </w:r>
      <w:r>
        <w:rPr>
          <w:rFonts w:hAnsi="宋体"/>
          <w:sz w:val="24"/>
        </w:rPr>
        <w:t xml:space="preserve">东太湖实验小学</w:t>
      </w:r>
      <w:r>
        <w:rPr>
          <w:rFonts w:hint="eastAsia" w:hAnsi="宋体"/>
          <w:sz w:val="24"/>
        </w:rPr>
        <w:t xml:space="preserve">、</w:t>
      </w:r>
      <w:r>
        <w:rPr>
          <w:rFonts w:hAnsi="宋体"/>
          <w:sz w:val="24"/>
        </w:rPr>
        <w:t xml:space="preserve">吴江中学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无</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秋枫街</w:t>
      </w:r>
      <w:r>
        <w:rPr>
          <w:rFonts w:hint="eastAsia" w:ascii="宋体" w:hAnsi="宋体"/>
          <w:sz w:val="24"/>
        </w:rPr>
        <w:t xml:space="preserve">，南至</w:t>
      </w:r>
      <w:r>
        <w:rPr>
          <w:rFonts w:ascii="宋体" w:hAnsi="宋体"/>
          <w:sz w:val="24"/>
        </w:rPr>
        <w:t xml:space="preserve">庞杨路</w:t>
      </w:r>
      <w:r>
        <w:rPr>
          <w:rFonts w:hint="eastAsia" w:ascii="宋体" w:hAnsi="宋体"/>
          <w:sz w:val="24"/>
        </w:rPr>
        <w:t xml:space="preserve">，西至</w:t>
      </w:r>
      <w:r>
        <w:rPr>
          <w:rFonts w:ascii="宋体" w:hAnsi="宋体"/>
          <w:sz w:val="24"/>
        </w:rPr>
        <w:t xml:space="preserve">夏蓉街</w:t>
      </w:r>
      <w:r>
        <w:rPr>
          <w:rFonts w:hint="eastAsia" w:ascii="宋体" w:hAnsi="宋体"/>
          <w:sz w:val="24"/>
        </w:rPr>
        <w:t xml:space="preserve">，北至</w:t>
      </w:r>
      <w:r>
        <w:rPr>
          <w:rFonts w:ascii="宋体" w:hAnsi="宋体"/>
          <w:sz w:val="24"/>
        </w:rPr>
        <w:t xml:space="preserve">三船路港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估价对象为坐落于苏州市吴江区绿苑</w:t>
      </w:r>
      <w:r>
        <w:t xml:space="preserve"> </w:t>
      </w:r>
      <w:r>
        <w:rPr>
          <w:rFonts w:ascii="宋体" w:hAnsi="宋体"/>
          <w:kern w:val="2"/>
          <w:sz w:val="24"/>
        </w:rPr>
        <w:t xml:space="preserve">8幢102室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叠加</w:t>
      </w:r>
      <w:r>
        <w:rPr>
          <w:rFonts w:hint="eastAsia" w:hAnsi="宋体"/>
          <w:sz w:val="24"/>
        </w:rPr>
        <w:t xml:space="preserve">建筑，建筑面积为</w:t>
      </w:r>
      <w:r>
        <w:rPr>
          <w:rFonts w:hAnsi="宋体"/>
          <w:sz w:val="24"/>
        </w:rPr>
        <w:t xml:space="preserve">147.67</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36</w:t>
      </w:r>
      <w:r>
        <w:rPr>
          <w:rFonts w:hint="eastAsia" w:hAnsi="宋体"/>
          <w:sz w:val="24"/>
        </w:rPr>
        <w:t xml:space="preserve">层的第</w:t>
      </w:r>
      <w:r>
        <w:rPr>
          <w:rFonts w:hint="eastAsia" w:hAnsi="宋体"/>
          <w:sz w:val="24"/>
        </w:rPr>
        <w:t xml:space="preserve">1-2</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四室两厅两卫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全封闭管理，24小时有保安巡逻及监视系统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2018</w:t>
      </w:r>
      <w:r>
        <w:rPr>
          <w:rFonts w:hint="eastAsia" w:hAnsi="宋体"/>
          <w:sz w:val="24"/>
        </w:rPr>
        <w:t xml:space="preserve">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sidRPr="009A25D8">
        <w:rPr>
          <w:rFonts w:hint="eastAsia" w:ascii="黑体" w:hAnsi="黑体" w:eastAsia="黑体"/>
          <w:sz w:val="24"/>
        </w:rPr>
        <w:t xml:space="preserve">三、市场背景描述与分析</w:t>
      </w:r>
    </w:p>
    <w:p>
      <w:pPr>
        <w:spacing w:line="480" w:lineRule="exact"/>
        <w:ind w:firstLine="480" w:firstLineChars="200"/>
        <w:jc w:val="both"/>
        <w:rPr>
          <w:sz w:val="24"/>
        </w:rPr>
      </w:pPr>
      <w:r w:rsidRPr="009A25D8">
        <w:rPr>
          <w:rFonts w:eastAsia="黑体"/>
          <w:sz w:val="24"/>
        </w:rPr>
        <w:t xml:space="preserve">1</w:t>
      </w:r>
      <w:r w:rsidRPr="009A25D8">
        <w:rPr>
          <w:rFonts w:hint="eastAsia" w:eastAsia="黑体"/>
          <w:sz w:val="24"/>
        </w:rPr>
        <w:t xml:space="preserve">、吴江区经济社会发</w:t>
      </w:r>
      <w:r w:rsidRPr="009A25D8">
        <w:rPr>
          <w:rFonts w:hint="eastAsia" w:eastAsia="黑体"/>
          <w:sz w:val="24"/>
          <w:szCs w:val="24"/>
        </w:rPr>
        <w:t xml:space="preserve">展状况</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1.1</w:t>
      </w:r>
      <w:r w:rsidRPr="009A25D8">
        <w:rPr>
          <w:rFonts w:hint="eastAsia"/>
          <w:color w:val="000000" w:themeColor="text1"/>
          <w:kern w:val="2"/>
          <w:sz w:val="24"/>
          <w:szCs w:val="24"/>
        </w:rPr>
        <w:t xml:space="preserve">吴江区经济结构</w:t>
      </w:r>
    </w:p>
    <w:p>
      <w:pPr>
        <w:spacing w:line="480" w:lineRule="exact"/>
        <w:ind w:firstLine="480" w:firstLineChars="200"/>
        <w:jc w:val="both"/>
        <w:rPr>
          <w:color w:val="000000" w:themeColor="text1"/>
          <w:kern w:val="2"/>
          <w:sz w:val="24"/>
          <w:szCs w:val="24"/>
        </w:rPr>
      </w:pPr>
      <w:bookmarkStart w:name="_Hlk159246685" w:id="10"/>
      <w:bookmarkStart w:name="_Hlk159245597" w:id="11"/>
      <w:r w:rsidRPr="009A25D8">
        <w:rPr>
          <w:color w:val="000000" w:themeColor="text1"/>
          <w:kern w:val="2"/>
          <w:sz w:val="24"/>
          <w:szCs w:val="24"/>
        </w:rPr>
        <w:t xml:space="preserve">2023</w:t>
      </w:r>
      <w:r w:rsidRPr="009A25D8">
        <w:rPr>
          <w:color w:val="000000" w:themeColor="text1"/>
          <w:kern w:val="2"/>
          <w:sz w:val="24"/>
          <w:szCs w:val="24"/>
        </w:rPr>
        <w:t xml:space="preserve">年，吴江区实现地区生产总值</w:t>
      </w:r>
      <w:r w:rsidRPr="009A25D8">
        <w:rPr>
          <w:color w:val="000000" w:themeColor="text1"/>
          <w:kern w:val="2"/>
          <w:sz w:val="24"/>
          <w:szCs w:val="24"/>
        </w:rPr>
        <w:t xml:space="preserve">2377.28</w:t>
      </w:r>
      <w:r w:rsidRPr="009A25D8">
        <w:rPr>
          <w:color w:val="000000" w:themeColor="text1"/>
          <w:kern w:val="2"/>
          <w:sz w:val="24"/>
          <w:szCs w:val="24"/>
        </w:rPr>
        <w:t xml:space="preserve">亿元，按不变价格计算，比上年增长</w:t>
      </w:r>
      <w:r w:rsidRPr="009A25D8">
        <w:rPr>
          <w:color w:val="000000" w:themeColor="text1"/>
          <w:kern w:val="2"/>
          <w:sz w:val="24"/>
          <w:szCs w:val="24"/>
        </w:rPr>
        <w:t xml:space="preserve">4.2%</w:t>
      </w:r>
      <w:r w:rsidRPr="009A25D8">
        <w:rPr>
          <w:color w:val="000000" w:themeColor="text1"/>
          <w:kern w:val="2"/>
          <w:sz w:val="24"/>
          <w:szCs w:val="24"/>
        </w:rPr>
        <w:t xml:space="preserve">，增速较</w:t>
      </w:r>
      <w:r w:rsidRPr="009A25D8">
        <w:rPr>
          <w:color w:val="000000" w:themeColor="text1"/>
          <w:kern w:val="2"/>
          <w:sz w:val="24"/>
          <w:szCs w:val="24"/>
        </w:rPr>
        <w:t xml:space="preserve">2022</w:t>
      </w:r>
      <w:r w:rsidRPr="009A25D8">
        <w:rPr>
          <w:color w:val="000000" w:themeColor="text1"/>
          <w:kern w:val="2"/>
          <w:sz w:val="24"/>
          <w:szCs w:val="24"/>
        </w:rPr>
        <w:t xml:space="preserve">年提升</w:t>
      </w:r>
      <w:r w:rsidRPr="009A25D8">
        <w:rPr>
          <w:color w:val="000000" w:themeColor="text1"/>
          <w:kern w:val="2"/>
          <w:sz w:val="24"/>
          <w:szCs w:val="24"/>
        </w:rPr>
        <w:t xml:space="preserve">1.9</w:t>
      </w:r>
      <w:r w:rsidRPr="009A25D8">
        <w:rPr>
          <w:color w:val="000000" w:themeColor="text1"/>
          <w:kern w:val="2"/>
          <w:sz w:val="24"/>
          <w:szCs w:val="24"/>
        </w:rPr>
        <w:t xml:space="preserve">个百分点，总量和增速分别列大市第</w:t>
      </w:r>
      <w:r w:rsidRPr="009A25D8">
        <w:rPr>
          <w:color w:val="000000" w:themeColor="text1"/>
          <w:kern w:val="2"/>
          <w:sz w:val="24"/>
          <w:szCs w:val="24"/>
        </w:rPr>
        <w:t xml:space="preserve">5</w:t>
      </w:r>
      <w:r w:rsidRPr="009A25D8">
        <w:rPr>
          <w:color w:val="000000" w:themeColor="text1"/>
          <w:kern w:val="2"/>
          <w:sz w:val="24"/>
          <w:szCs w:val="24"/>
        </w:rPr>
        <w:t xml:space="preserve">和第</w:t>
      </w:r>
      <w:r w:rsidRPr="009A25D8">
        <w:rPr>
          <w:color w:val="000000" w:themeColor="text1"/>
          <w:kern w:val="2"/>
          <w:sz w:val="24"/>
          <w:szCs w:val="24"/>
        </w:rPr>
        <w:t xml:space="preserve">6</w:t>
      </w:r>
      <w:bookmarkEnd w:id="10"/>
      <w:r w:rsidRPr="009A25D8">
        <w:rPr>
          <w:color w:val="000000" w:themeColor="text1"/>
          <w:kern w:val="2"/>
          <w:sz w:val="24"/>
          <w:szCs w:val="24"/>
        </w:rPr>
        <w:t xml:space="preserve">。对吴江区近</w:t>
      </w:r>
      <w:r w:rsidRPr="009A25D8">
        <w:rPr>
          <w:color w:val="000000" w:themeColor="text1"/>
          <w:kern w:val="2"/>
          <w:sz w:val="24"/>
          <w:szCs w:val="24"/>
        </w:rPr>
        <w:t xml:space="preserve">5</w:t>
      </w:r>
      <w:r w:rsidRPr="009A25D8">
        <w:rPr>
          <w:color w:val="000000" w:themeColor="text1"/>
          <w:kern w:val="2"/>
          <w:sz w:val="24"/>
          <w:szCs w:val="24"/>
        </w:rPr>
        <w:t xml:space="preserve">年来实现地区生产总值收入情况进行了数据分析，具体详见下表</w:t>
      </w:r>
      <w:bookmarkEnd w:id="11"/>
      <w:r w:rsidRPr="009A25D8">
        <w:rPr>
          <w:color w:val="000000" w:themeColor="text1"/>
          <w:kern w:val="2"/>
          <w:sz w:val="24"/>
          <w:szCs w:val="24"/>
        </w:rPr>
        <w:t xml:space="preserve">：</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noProof/>
          <w:sz w:val="24"/>
          <w:szCs w:val="24"/>
        </w:rPr>
        <w:t xml:space="preserve">1</w:t>
      </w:r>
      <w:r>
        <w:rPr>
          <w:rFonts w:ascii="宋体" w:hAnsi="宋体"/>
          <w:b/>
          <w:bCs/>
          <w:sz w:val="24"/>
          <w:szCs w:val="24"/>
        </w:rPr>
        <w:fldChar w:fldCharType="end"/>
      </w:r>
      <w:r w:rsidRPr="009A25D8">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3072"/>
        <w:gridCol w:w="1001"/>
        <w:gridCol w:w="985"/>
        <w:gridCol w:w="1045"/>
        <w:gridCol w:w="991"/>
        <w:gridCol w:w="1223"/>
      </w:tblGrid>
      <w:tr w:rsidTr="00CA20B4">
        <w:trPr>
          <w:trHeight w:val="454"/>
          <w:tblHeader/>
          <w:jc w:val="center"/>
        </w:trPr>
        <w:tc>
          <w:tcPr>
            <w:tcW w:w="1846" w:type="pct"/>
            <w:vAlign w:val="center"/>
          </w:tcPr>
          <w:p>
            <w:pPr>
              <w:spacing w:line="240" w:lineRule="atLeast"/>
              <w:jc w:val="center"/>
              <w:rPr>
                <w:b/>
                <w:bCs/>
                <w:sz w:val="21"/>
                <w:szCs w:val="21"/>
              </w:rPr>
            </w:pPr>
            <w:r w:rsidRPr="009A25D8">
              <w:rPr>
                <w:b/>
                <w:bCs/>
                <w:sz w:val="21"/>
                <w:szCs w:val="21"/>
              </w:rPr>
              <w:t xml:space="preserve">类别</w:t>
            </w:r>
          </w:p>
        </w:tc>
        <w:tc>
          <w:tcPr>
            <w:tcW w:w="602" w:type="pct"/>
            <w:vAlign w:val="center"/>
          </w:tcPr>
          <w:p>
            <w:pPr>
              <w:spacing w:line="240" w:lineRule="atLeast"/>
              <w:jc w:val="center"/>
              <w:rPr>
                <w:b/>
                <w:bCs/>
                <w:sz w:val="21"/>
                <w:szCs w:val="21"/>
              </w:rPr>
            </w:pPr>
            <w:r w:rsidRPr="009A25D8">
              <w:rPr>
                <w:b/>
                <w:bCs/>
                <w:sz w:val="21"/>
                <w:szCs w:val="21"/>
              </w:rPr>
              <w:t xml:space="preserve">2019</w:t>
            </w:r>
            <w:r w:rsidRPr="009A25D8">
              <w:rPr>
                <w:b/>
                <w:bCs/>
                <w:sz w:val="21"/>
                <w:szCs w:val="21"/>
              </w:rPr>
              <w:t xml:space="preserve">年</w:t>
            </w:r>
          </w:p>
        </w:tc>
        <w:tc>
          <w:tcPr>
            <w:tcW w:w="592" w:type="pct"/>
            <w:vAlign w:val="center"/>
          </w:tcPr>
          <w:p>
            <w:pPr>
              <w:spacing w:line="240" w:lineRule="atLeast"/>
              <w:jc w:val="center"/>
              <w:rPr>
                <w:b/>
                <w:bCs/>
                <w:sz w:val="21"/>
                <w:szCs w:val="21"/>
              </w:rPr>
            </w:pPr>
            <w:r w:rsidRPr="009A25D8">
              <w:rPr>
                <w:b/>
                <w:bCs/>
                <w:sz w:val="21"/>
                <w:szCs w:val="21"/>
              </w:rPr>
              <w:t xml:space="preserve">2020</w:t>
            </w:r>
            <w:r w:rsidRPr="009A25D8">
              <w:rPr>
                <w:b/>
                <w:bCs/>
                <w:sz w:val="21"/>
                <w:szCs w:val="21"/>
              </w:rPr>
              <w:t xml:space="preserve">年</w:t>
            </w:r>
          </w:p>
        </w:tc>
        <w:tc>
          <w:tcPr>
            <w:tcW w:w="628" w:type="pct"/>
            <w:vAlign w:val="center"/>
          </w:tcPr>
          <w:p>
            <w:pPr>
              <w:spacing w:line="240" w:lineRule="atLeast"/>
              <w:jc w:val="center"/>
              <w:rPr>
                <w:b/>
                <w:bCs/>
                <w:sz w:val="21"/>
                <w:szCs w:val="21"/>
              </w:rPr>
            </w:pPr>
            <w:r w:rsidRPr="009A25D8">
              <w:rPr>
                <w:b/>
                <w:bCs/>
                <w:sz w:val="21"/>
                <w:szCs w:val="21"/>
              </w:rPr>
              <w:t xml:space="preserve">2021</w:t>
            </w:r>
            <w:r w:rsidRPr="009A25D8">
              <w:rPr>
                <w:b/>
                <w:bCs/>
                <w:sz w:val="21"/>
                <w:szCs w:val="21"/>
              </w:rPr>
              <w:t xml:space="preserve">年</w:t>
            </w:r>
          </w:p>
        </w:tc>
        <w:tc>
          <w:tcPr>
            <w:tcW w:w="596" w:type="pct"/>
            <w:vAlign w:val="center"/>
          </w:tcPr>
          <w:p>
            <w:pPr>
              <w:spacing w:line="240" w:lineRule="atLeast"/>
              <w:jc w:val="center"/>
              <w:rPr>
                <w:b/>
                <w:bCs/>
                <w:sz w:val="21"/>
                <w:szCs w:val="21"/>
              </w:rPr>
            </w:pPr>
            <w:r w:rsidRPr="009A25D8">
              <w:rPr>
                <w:b/>
                <w:bCs/>
                <w:sz w:val="21"/>
                <w:szCs w:val="21"/>
              </w:rPr>
              <w:t xml:space="preserve">2022</w:t>
            </w:r>
            <w:r w:rsidRPr="009A25D8">
              <w:rPr>
                <w:b/>
                <w:bCs/>
                <w:sz w:val="21"/>
                <w:szCs w:val="21"/>
              </w:rPr>
              <w:t xml:space="preserve">年</w:t>
            </w:r>
          </w:p>
        </w:tc>
        <w:tc>
          <w:tcPr>
            <w:tcW w:w="735" w:type="pct"/>
            <w:vAlign w:val="center"/>
          </w:tcPr>
          <w:p>
            <w:pPr>
              <w:spacing w:line="240" w:lineRule="atLeast"/>
              <w:jc w:val="center"/>
              <w:rPr>
                <w:b/>
                <w:bCs/>
                <w:sz w:val="21"/>
                <w:szCs w:val="21"/>
              </w:rPr>
            </w:pPr>
            <w:r w:rsidRPr="009A25D8">
              <w:rPr>
                <w:b/>
                <w:bCs/>
                <w:sz w:val="21"/>
                <w:szCs w:val="21"/>
              </w:rPr>
              <w:t xml:space="preserve">2023</w:t>
            </w:r>
            <w:r w:rsidRPr="009A25D8">
              <w:rPr>
                <w:b/>
                <w:bCs/>
                <w:sz w:val="21"/>
                <w:szCs w:val="21"/>
              </w:rPr>
              <w:t xml:space="preserve">年</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全区实现地区生产总值（亿元）</w:t>
            </w:r>
          </w:p>
        </w:tc>
        <w:tc>
          <w:tcPr>
            <w:tcW w:w="602" w:type="pct"/>
            <w:vAlign w:val="center"/>
          </w:tcPr>
          <w:p>
            <w:pPr>
              <w:spacing w:line="240" w:lineRule="atLeast"/>
              <w:jc w:val="center"/>
              <w:rPr>
                <w:sz w:val="21"/>
                <w:szCs w:val="21"/>
              </w:rPr>
            </w:pPr>
            <w:r w:rsidRPr="009A25D8">
              <w:rPr>
                <w:sz w:val="21"/>
                <w:szCs w:val="21"/>
              </w:rPr>
              <w:t xml:space="preserve">1958.16</w:t>
            </w:r>
          </w:p>
        </w:tc>
        <w:tc>
          <w:tcPr>
            <w:tcW w:w="592" w:type="pct"/>
            <w:vAlign w:val="center"/>
          </w:tcPr>
          <w:p>
            <w:pPr>
              <w:spacing w:line="240" w:lineRule="atLeast"/>
              <w:jc w:val="center"/>
              <w:rPr>
                <w:sz w:val="21"/>
                <w:szCs w:val="21"/>
              </w:rPr>
            </w:pPr>
            <w:r w:rsidRPr="009A25D8">
              <w:rPr>
                <w:sz w:val="21"/>
                <w:szCs w:val="21"/>
              </w:rPr>
              <w:t xml:space="preserve">2002.83</w:t>
            </w:r>
          </w:p>
        </w:tc>
        <w:tc>
          <w:tcPr>
            <w:tcW w:w="628" w:type="pct"/>
            <w:vAlign w:val="center"/>
          </w:tcPr>
          <w:p>
            <w:pPr>
              <w:spacing w:line="240" w:lineRule="atLeast"/>
              <w:jc w:val="center"/>
              <w:rPr>
                <w:sz w:val="21"/>
                <w:szCs w:val="21"/>
              </w:rPr>
            </w:pPr>
            <w:r w:rsidRPr="009A25D8">
              <w:rPr>
                <w:sz w:val="21"/>
                <w:szCs w:val="21"/>
              </w:rPr>
              <w:t xml:space="preserve">2224.53</w:t>
            </w:r>
          </w:p>
        </w:tc>
        <w:tc>
          <w:tcPr>
            <w:tcW w:w="596" w:type="pct"/>
            <w:vAlign w:val="center"/>
          </w:tcPr>
          <w:p>
            <w:pPr>
              <w:spacing w:line="240" w:lineRule="atLeast"/>
              <w:jc w:val="center"/>
              <w:rPr>
                <w:sz w:val="21"/>
                <w:szCs w:val="21"/>
              </w:rPr>
            </w:pPr>
            <w:r w:rsidRPr="009A25D8">
              <w:rPr>
                <w:sz w:val="21"/>
                <w:szCs w:val="21"/>
              </w:rPr>
              <w:t xml:space="preserve">2331.97</w:t>
            </w:r>
          </w:p>
        </w:tc>
        <w:tc>
          <w:tcPr>
            <w:tcW w:w="735" w:type="pct"/>
            <w:vAlign w:val="center"/>
          </w:tcPr>
          <w:p>
            <w:pPr>
              <w:spacing w:line="240" w:lineRule="atLeast"/>
              <w:jc w:val="center"/>
              <w:rPr>
                <w:sz w:val="21"/>
                <w:szCs w:val="21"/>
              </w:rPr>
            </w:pPr>
            <w:r w:rsidRPr="009A25D8">
              <w:rPr>
                <w:sz w:val="21"/>
                <w:szCs w:val="21"/>
              </w:rPr>
              <w:t xml:space="preserve">2377.28</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比上年同期增长率（</w:t>
            </w:r>
            <w:r w:rsidRPr="009A25D8">
              <w:rPr>
                <w:sz w:val="21"/>
                <w:szCs w:val="21"/>
              </w:rPr>
              <w:t xml:space="preserve">%</w:t>
            </w:r>
            <w:r w:rsidRPr="009A25D8">
              <w:rPr>
                <w:sz w:val="21"/>
                <w:szCs w:val="21"/>
              </w:rPr>
              <w:t xml:space="preserve">）</w:t>
            </w:r>
          </w:p>
        </w:tc>
        <w:tc>
          <w:tcPr>
            <w:tcW w:w="602" w:type="pct"/>
            <w:vAlign w:val="center"/>
          </w:tcPr>
          <w:p>
            <w:pPr>
              <w:jc w:val="center"/>
              <w:rPr>
                <w:sz w:val="21"/>
                <w:szCs w:val="21"/>
              </w:rPr>
            </w:pPr>
            <w:r w:rsidRPr="009A25D8">
              <w:rPr>
                <w:sz w:val="21"/>
                <w:szCs w:val="21"/>
              </w:rPr>
              <w:t xml:space="preserve">5.7%</w:t>
            </w:r>
          </w:p>
        </w:tc>
        <w:tc>
          <w:tcPr>
            <w:tcW w:w="592" w:type="pct"/>
            <w:vAlign w:val="center"/>
          </w:tcPr>
          <w:p>
            <w:pPr>
              <w:jc w:val="center"/>
              <w:rPr>
                <w:sz w:val="21"/>
                <w:szCs w:val="21"/>
              </w:rPr>
            </w:pPr>
            <w:r w:rsidRPr="009A25D8">
              <w:rPr>
                <w:sz w:val="21"/>
                <w:szCs w:val="21"/>
              </w:rPr>
              <w:t xml:space="preserve">0.6%</w:t>
            </w:r>
          </w:p>
        </w:tc>
        <w:tc>
          <w:tcPr>
            <w:tcW w:w="628" w:type="pct"/>
            <w:vAlign w:val="center"/>
          </w:tcPr>
          <w:p>
            <w:pPr>
              <w:jc w:val="center"/>
              <w:rPr>
                <w:sz w:val="21"/>
                <w:szCs w:val="21"/>
              </w:rPr>
            </w:pPr>
            <w:r w:rsidRPr="009A25D8">
              <w:rPr>
                <w:sz w:val="21"/>
                <w:szCs w:val="21"/>
              </w:rPr>
              <w:t xml:space="preserve">8.0%</w:t>
            </w:r>
          </w:p>
        </w:tc>
        <w:tc>
          <w:tcPr>
            <w:tcW w:w="596" w:type="pct"/>
            <w:vAlign w:val="center"/>
          </w:tcPr>
          <w:p>
            <w:pPr>
              <w:jc w:val="center"/>
              <w:rPr>
                <w:sz w:val="21"/>
                <w:szCs w:val="21"/>
              </w:rPr>
            </w:pPr>
            <w:r w:rsidRPr="009A25D8">
              <w:rPr>
                <w:sz w:val="21"/>
                <w:szCs w:val="21"/>
              </w:rPr>
              <w:t xml:space="preserve">2.3%</w:t>
            </w:r>
          </w:p>
        </w:tc>
        <w:tc>
          <w:tcPr>
            <w:tcW w:w="735" w:type="pct"/>
            <w:vAlign w:val="center"/>
          </w:tcPr>
          <w:p>
            <w:pPr>
              <w:jc w:val="center"/>
              <w:rPr>
                <w:sz w:val="21"/>
                <w:szCs w:val="21"/>
              </w:rPr>
            </w:pPr>
            <w:r w:rsidRPr="009A25D8">
              <w:rPr>
                <w:sz w:val="21"/>
                <w:szCs w:val="21"/>
              </w:rPr>
              <w:t xml:space="preserve">4.2%</w:t>
            </w:r>
          </w:p>
        </w:tc>
      </w:tr>
    </w:tbl>
    <w:p>
      <w:pPr>
        <w:spacing w:line="480" w:lineRule="exact"/>
        <w:ind w:firstLine="480" w:firstLineChars="200"/>
        <w:jc w:val="both"/>
        <w:rPr>
          <w:color w:val="000000" w:themeColor="text1"/>
          <w:kern w:val="2"/>
          <w:sz w:val="24"/>
          <w:szCs w:val="24"/>
        </w:rPr>
      </w:pPr>
      <w:bookmarkStart w:name="_Hlk159245619" w:id="12"/>
      <w:r w:rsidRPr="009A25D8">
        <w:rPr>
          <w:color w:val="000000" w:themeColor="text1"/>
          <w:kern w:val="2"/>
          <w:sz w:val="24"/>
          <w:szCs w:val="24"/>
        </w:rPr>
        <w:t xml:space="preserve">2023</w:t>
      </w:r>
      <w:r w:rsidRPr="009A25D8">
        <w:rPr>
          <w:color w:val="000000" w:themeColor="text1"/>
          <w:kern w:val="2"/>
          <w:sz w:val="24"/>
          <w:szCs w:val="24"/>
        </w:rPr>
        <w:t xml:space="preserve">年，吴江区地区生产总值：分季度看，一季度增长</w:t>
      </w:r>
      <w:r w:rsidRPr="009A25D8">
        <w:rPr>
          <w:color w:val="000000" w:themeColor="text1"/>
          <w:kern w:val="2"/>
          <w:sz w:val="24"/>
          <w:szCs w:val="24"/>
        </w:rPr>
        <w:t xml:space="preserve">0.7%</w:t>
      </w:r>
      <w:r w:rsidRPr="009A25D8">
        <w:rPr>
          <w:color w:val="000000" w:themeColor="text1"/>
          <w:kern w:val="2"/>
          <w:sz w:val="24"/>
          <w:szCs w:val="24"/>
        </w:rPr>
        <w:t xml:space="preserve">，上半年增长</w:t>
      </w:r>
      <w:r w:rsidRPr="009A25D8">
        <w:rPr>
          <w:color w:val="000000" w:themeColor="text1"/>
          <w:kern w:val="2"/>
          <w:sz w:val="24"/>
          <w:szCs w:val="24"/>
        </w:rPr>
        <w:t xml:space="preserve">3.6%</w:t>
      </w:r>
      <w:r w:rsidRPr="009A25D8">
        <w:rPr>
          <w:color w:val="000000" w:themeColor="text1"/>
          <w:kern w:val="2"/>
          <w:sz w:val="24"/>
          <w:szCs w:val="24"/>
        </w:rPr>
        <w:t xml:space="preserve">，前三季度增长</w:t>
      </w:r>
      <w:r w:rsidRPr="009A25D8">
        <w:rPr>
          <w:color w:val="000000" w:themeColor="text1"/>
          <w:kern w:val="2"/>
          <w:sz w:val="24"/>
          <w:szCs w:val="24"/>
        </w:rPr>
        <w:t xml:space="preserve">3.5%</w:t>
      </w:r>
      <w:r w:rsidRPr="009A25D8">
        <w:rPr>
          <w:color w:val="000000" w:themeColor="text1"/>
          <w:kern w:val="2"/>
          <w:sz w:val="24"/>
          <w:szCs w:val="24"/>
        </w:rPr>
        <w:t xml:space="preserve">，全年经济运行总体呈现前低、恢复、趋稳、提升的向好发展态势。分产业看，第一产业增加值</w:t>
      </w:r>
      <w:r w:rsidRPr="009A25D8">
        <w:rPr>
          <w:color w:val="000000" w:themeColor="text1"/>
          <w:kern w:val="2"/>
          <w:sz w:val="24"/>
          <w:szCs w:val="24"/>
        </w:rPr>
        <w:t xml:space="preserve">38.25</w:t>
      </w:r>
      <w:r w:rsidRPr="009A25D8">
        <w:rPr>
          <w:color w:val="000000" w:themeColor="text1"/>
          <w:kern w:val="2"/>
          <w:sz w:val="24"/>
          <w:szCs w:val="24"/>
        </w:rPr>
        <w:t xml:space="preserve">亿元，增长</w:t>
      </w:r>
      <w:r w:rsidRPr="009A25D8">
        <w:rPr>
          <w:color w:val="000000" w:themeColor="text1"/>
          <w:kern w:val="2"/>
          <w:sz w:val="24"/>
          <w:szCs w:val="24"/>
        </w:rPr>
        <w:t xml:space="preserve">3.6%</w:t>
      </w:r>
      <w:r w:rsidRPr="009A25D8">
        <w:rPr>
          <w:color w:val="000000" w:themeColor="text1"/>
          <w:kern w:val="2"/>
          <w:sz w:val="24"/>
          <w:szCs w:val="24"/>
        </w:rPr>
        <w:t xml:space="preserve">；第二产业增加值</w:t>
      </w:r>
      <w:r w:rsidRPr="009A25D8">
        <w:rPr>
          <w:color w:val="000000" w:themeColor="text1"/>
          <w:kern w:val="2"/>
          <w:sz w:val="24"/>
          <w:szCs w:val="24"/>
        </w:rPr>
        <w:t xml:space="preserve">1233.81</w:t>
      </w:r>
      <w:r w:rsidRPr="009A25D8">
        <w:rPr>
          <w:color w:val="000000" w:themeColor="text1"/>
          <w:kern w:val="2"/>
          <w:sz w:val="24"/>
          <w:szCs w:val="24"/>
        </w:rPr>
        <w:t xml:space="preserve">亿元，增长</w:t>
      </w:r>
      <w:r w:rsidRPr="009A25D8">
        <w:rPr>
          <w:color w:val="000000" w:themeColor="text1"/>
          <w:kern w:val="2"/>
          <w:sz w:val="24"/>
          <w:szCs w:val="24"/>
        </w:rPr>
        <w:t xml:space="preserve">3.9%</w:t>
      </w:r>
      <w:r w:rsidRPr="009A25D8">
        <w:rPr>
          <w:color w:val="000000" w:themeColor="text1"/>
          <w:kern w:val="2"/>
          <w:sz w:val="24"/>
          <w:szCs w:val="24"/>
        </w:rPr>
        <w:t xml:space="preserve">；第三产业增加值</w:t>
      </w:r>
      <w:r w:rsidRPr="009A25D8">
        <w:rPr>
          <w:color w:val="000000" w:themeColor="text1"/>
          <w:kern w:val="2"/>
          <w:sz w:val="24"/>
          <w:szCs w:val="24"/>
        </w:rPr>
        <w:t xml:space="preserve">1105.22</w:t>
      </w:r>
      <w:r w:rsidRPr="009A25D8">
        <w:rPr>
          <w:color w:val="000000" w:themeColor="text1"/>
          <w:kern w:val="2"/>
          <w:sz w:val="24"/>
          <w:szCs w:val="24"/>
        </w:rPr>
        <w:t xml:space="preserve">亿元，增长</w:t>
      </w:r>
      <w:r w:rsidRPr="009A25D8">
        <w:rPr>
          <w:color w:val="000000" w:themeColor="text1"/>
          <w:kern w:val="2"/>
          <w:sz w:val="24"/>
          <w:szCs w:val="24"/>
        </w:rPr>
        <w:t xml:space="preserve">4.5%</w:t>
      </w:r>
      <w:r w:rsidRPr="009A25D8">
        <w:rPr>
          <w:color w:val="000000" w:themeColor="text1"/>
          <w:kern w:val="2"/>
          <w:sz w:val="24"/>
          <w:szCs w:val="24"/>
        </w:rPr>
        <w:t xml:space="preserve">。三次产业比为</w:t>
      </w:r>
      <w:r w:rsidRPr="009A25D8">
        <w:rPr>
          <w:color w:val="000000" w:themeColor="text1"/>
          <w:kern w:val="2"/>
          <w:sz w:val="24"/>
          <w:szCs w:val="24"/>
        </w:rPr>
        <w:t xml:space="preserve">1.6</w:t>
      </w:r>
      <w:r w:rsidRPr="009A25D8">
        <w:rPr>
          <w:color w:val="000000" w:themeColor="text1"/>
          <w:kern w:val="2"/>
          <w:sz w:val="24"/>
          <w:szCs w:val="24"/>
        </w:rPr>
        <w:t xml:space="preserve">：</w:t>
      </w:r>
      <w:r w:rsidRPr="009A25D8">
        <w:rPr>
          <w:color w:val="000000" w:themeColor="text1"/>
          <w:kern w:val="2"/>
          <w:sz w:val="24"/>
          <w:szCs w:val="24"/>
        </w:rPr>
        <w:t xml:space="preserve">51.9</w:t>
      </w:r>
      <w:r w:rsidRPr="009A25D8">
        <w:rPr>
          <w:color w:val="000000" w:themeColor="text1"/>
          <w:kern w:val="2"/>
          <w:sz w:val="24"/>
          <w:szCs w:val="24"/>
        </w:rPr>
        <w:t xml:space="preserve">：</w:t>
      </w:r>
      <w:r w:rsidRPr="009A25D8">
        <w:rPr>
          <w:color w:val="000000" w:themeColor="text1"/>
          <w:kern w:val="2"/>
          <w:sz w:val="24"/>
          <w:szCs w:val="24"/>
        </w:rPr>
        <w:t xml:space="preserve">46.5</w:t>
      </w:r>
      <w:r w:rsidRPr="009A25D8">
        <w:rPr>
          <w:color w:val="000000" w:themeColor="text1"/>
          <w:kern w:val="2"/>
          <w:sz w:val="24"/>
          <w:szCs w:val="24"/>
        </w:rPr>
        <w:t xml:space="preserve">，第二产业占比较上年下降</w:t>
      </w:r>
      <w:r w:rsidRPr="009A25D8">
        <w:rPr>
          <w:color w:val="000000" w:themeColor="text1"/>
          <w:kern w:val="2"/>
          <w:sz w:val="24"/>
          <w:szCs w:val="24"/>
        </w:rPr>
        <w:t xml:space="preserve">0.7</w:t>
      </w:r>
      <w:r w:rsidRPr="009A25D8">
        <w:rPr>
          <w:color w:val="000000" w:themeColor="text1"/>
          <w:kern w:val="2"/>
          <w:sz w:val="24"/>
          <w:szCs w:val="24"/>
        </w:rPr>
        <w:t xml:space="preserve">个百分点，第三产业提升</w:t>
      </w:r>
      <w:r w:rsidRPr="009A25D8">
        <w:rPr>
          <w:color w:val="000000" w:themeColor="text1"/>
          <w:kern w:val="2"/>
          <w:sz w:val="24"/>
          <w:szCs w:val="24"/>
        </w:rPr>
        <w:t xml:space="preserve">0.7</w:t>
      </w:r>
      <w:r w:rsidRPr="009A25D8">
        <w:rPr>
          <w:color w:val="000000" w:themeColor="text1"/>
          <w:kern w:val="2"/>
          <w:sz w:val="24"/>
          <w:szCs w:val="24"/>
        </w:rPr>
        <w:t xml:space="preserve">个百分点</w:t>
      </w:r>
      <w:bookmarkEnd w:id="12"/>
      <w:r w:rsidRPr="009A25D8">
        <w:rPr>
          <w:color w:val="000000" w:themeColor="text1"/>
          <w:kern w:val="2"/>
          <w:sz w:val="24"/>
          <w:szCs w:val="24"/>
        </w:rPr>
        <w:t xml:space="preserve">。</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1.2</w:t>
      </w:r>
      <w:r w:rsidRPr="009A25D8">
        <w:rPr>
          <w:rFonts w:hint="eastAsia"/>
          <w:color w:val="000000" w:themeColor="text1"/>
          <w:kern w:val="2"/>
          <w:sz w:val="24"/>
          <w:szCs w:val="24"/>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sidRPr="009A25D8">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sidRPr="009A25D8">
        <w:rPr>
          <w:rFonts w:ascii="宋体" w:hAnsi="宋体"/>
          <w:sz w:val="24"/>
          <w:szCs w:val="24"/>
        </w:rPr>
        <w:t xml:space="preserve">。</w:t>
      </w:r>
      <w:bookmarkEnd w:id="14"/>
    </w:p>
    <w:p>
      <w:pPr>
        <w:spacing w:line="480" w:lineRule="exact"/>
        <w:ind w:firstLine="480" w:firstLineChars="200"/>
        <w:jc w:val="both"/>
        <w:rPr>
          <w:rFonts w:eastAsia="黑体"/>
          <w:sz w:val="24"/>
        </w:rPr>
      </w:pPr>
      <w:r w:rsidRPr="009A25D8">
        <w:rPr>
          <w:rFonts w:eastAsia="黑体"/>
          <w:sz w:val="24"/>
        </w:rPr>
        <w:t xml:space="preserve">2</w:t>
      </w:r>
      <w:r w:rsidRPr="009A25D8">
        <w:rPr>
          <w:rFonts w:hint="eastAsia" w:eastAsia="黑体"/>
          <w:sz w:val="24"/>
        </w:rPr>
        <w:t xml:space="preserve">、</w:t>
      </w:r>
      <w:r w:rsidRPr="009A25D8">
        <w:rPr>
          <w:rFonts w:eastAsia="黑体"/>
          <w:sz w:val="24"/>
        </w:rPr>
        <w:t xml:space="preserve">吴江区住宅房地产市场</w:t>
      </w:r>
      <w:r w:rsidRPr="009A25D8">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sidRPr="009A25D8">
        <w:rPr>
          <w:rFonts w:ascii="宋体" w:hAnsi="宋体"/>
          <w:sz w:val="24"/>
          <w:szCs w:val="24"/>
        </w:rPr>
        <w:t xml:space="preserve">2023年，吴江区新房成交均价19890元/</w:t>
      </w:r>
      <w:r w:rsidRPr="009A25D8">
        <w:rPr>
          <w:szCs w:val="28"/>
        </w:rPr>
        <w:t xml:space="preserve"> m</w:t>
      </w:r>
      <w:r w:rsidRPr="009A25D8">
        <w:rPr>
          <w:szCs w:val="28"/>
          <w:vertAlign w:val="superscript"/>
        </w:rPr>
        <w:t xml:space="preserve">2</w:t>
      </w:r>
      <w:r w:rsidRPr="009A25D8">
        <w:rPr>
          <w:rFonts w:ascii="宋体" w:hAnsi="宋体"/>
          <w:sz w:val="24"/>
          <w:szCs w:val="24"/>
        </w:rPr>
        <w:t xml:space="preserve">，同比上涨4.88%，吴江区离踏上“2万元/ </w:t>
      </w:r>
      <w:r w:rsidRPr="009A25D8">
        <w:rPr>
          <w:szCs w:val="28"/>
        </w:rPr>
        <w:t xml:space="preserve">m</w:t>
      </w:r>
      <w:r w:rsidRPr="009A25D8">
        <w:rPr>
          <w:szCs w:val="28"/>
          <w:vertAlign w:val="superscript"/>
        </w:rPr>
        <w:t xml:space="preserve">2</w:t>
      </w:r>
      <w:r w:rsidRPr="009A25D8">
        <w:rPr>
          <w:rFonts w:ascii="宋体" w:hAnsi="宋体"/>
          <w:sz w:val="24"/>
          <w:szCs w:val="24"/>
        </w:rPr>
        <w:t xml:space="preserve">”仅一步之遥。但供应与成交两端，吴江区却表现较一般。供应量方面，新建商品住宅供应量约为55.31万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，同比减少约36.88%，仅高于姑</w:t>
      </w:r>
      <w:r w:rsidRPr="009A25D8">
        <w:rPr>
          <w:rFonts w:ascii="宋体" w:hAnsi="宋体"/>
          <w:sz w:val="24"/>
          <w:szCs w:val="24"/>
        </w:rPr>
        <w:t xml:space="preserve">苏区。2023年全年，吴江区只有16个楼盘有取证动作，纯新盘也仅天健泓悦府、华润润樾江南等少数楼盘入市，市场供应端的萎缩导致了吴江区新房的成交量也大幅度下滑。成交量方面，新建商品住宅成交量约为93.78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sidRPr="009A25D8">
        <w:rPr>
          <w:rFonts w:eastAsia="黑体"/>
          <w:sz w:val="24"/>
        </w:rPr>
        <w:t xml:space="preserve">3</w:t>
      </w:r>
      <w:r w:rsidRPr="009A25D8">
        <w:rPr>
          <w:rFonts w:hint="eastAsia" w:eastAsia="黑体"/>
          <w:sz w:val="24"/>
        </w:rPr>
        <w:t xml:space="preserve">、</w:t>
      </w:r>
      <w:r w:rsidRPr="009A25D8">
        <w:rPr>
          <w:rFonts w:eastAsia="黑体"/>
          <w:sz w:val="24"/>
        </w:rPr>
        <w:t xml:space="preserve">苏州市房地产调控政策</w:t>
      </w:r>
    </w:p>
    <w:p>
      <w:pPr>
        <w:snapToGrid w:val="0"/>
        <w:spacing w:line="480" w:lineRule="exact"/>
        <w:ind w:firstLine="480" w:firstLineChars="200"/>
        <w:rPr>
          <w:rFonts w:ascii="宋体" w:hAnsi="宋体"/>
          <w:sz w:val="24"/>
          <w:szCs w:val="24"/>
        </w:rPr>
      </w:pPr>
      <w:r w:rsidRPr="009A25D8">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sz w:val="24"/>
          <w:szCs w:val="24"/>
        </w:rPr>
        <w:t xml:space="preserve">2</w:t>
      </w:r>
      <w:r>
        <w:rPr>
          <w:rFonts w:ascii="宋体" w:hAnsi="宋体"/>
          <w:b/>
          <w:bCs/>
          <w:sz w:val="24"/>
          <w:szCs w:val="24"/>
        </w:rPr>
        <w:fldChar w:fldCharType="end"/>
      </w:r>
      <w:r w:rsidRPr="009A25D8">
        <w:rPr>
          <w:rFonts w:ascii="宋体" w:hAnsi="宋体"/>
          <w:b/>
          <w:bCs/>
          <w:sz w:val="24"/>
          <w:szCs w:val="24"/>
        </w:rPr>
        <w:t xml:space="preserve">  2023年度苏州市房地产调控政策一览表</w:t>
      </w:r>
    </w:p>
    <w:tbl>
      <w:tblPr>
        <w:tblStyle w:val="TableGrid"/>
        <w:tblW w:w="5000" w:type="pct"/>
        <w:jc w:val="center"/>
        <w:tblLook w:val="04A0" w:firstRow="1" w:lastRow="0" w:firstColumn="1" w:lastColumn="0" w:noHBand="0" w:noVBand="1"/>
      </w:tblPr>
      <w:tblGrid>
        <w:gridCol w:w="846"/>
        <w:gridCol w:w="1332"/>
        <w:gridCol w:w="1333"/>
        <w:gridCol w:w="5011"/>
      </w:tblGrid>
      <w:tr w:rsidTr="00CA20B4">
        <w:trPr>
          <w:trHeight w:val="454"/>
          <w:tblHeader/>
          <w:jc w:val="center"/>
        </w:trPr>
        <w:tc>
          <w:tcPr>
            <w:tcW w:w="496" w:type="pct"/>
            <w:vAlign w:val="center"/>
          </w:tcPr>
          <w:p>
            <w:pPr>
              <w:spacing w:line="360" w:lineRule="exact"/>
              <w:jc w:val="center"/>
              <w:rPr>
                <w:b/>
                <w:bCs/>
                <w:sz w:val="21"/>
                <w:szCs w:val="21"/>
              </w:rPr>
            </w:pPr>
            <w:r w:rsidRPr="009A25D8">
              <w:rPr>
                <w:b/>
                <w:bCs/>
                <w:sz w:val="21"/>
                <w:szCs w:val="21"/>
              </w:rPr>
              <w:t xml:space="preserve">序号</w:t>
            </w:r>
          </w:p>
        </w:tc>
        <w:tc>
          <w:tcPr>
            <w:tcW w:w="782" w:type="pct"/>
            <w:vAlign w:val="center"/>
          </w:tcPr>
          <w:p>
            <w:pPr>
              <w:spacing w:line="360" w:lineRule="exact"/>
              <w:jc w:val="center"/>
              <w:rPr>
                <w:b/>
                <w:bCs/>
                <w:sz w:val="21"/>
                <w:szCs w:val="21"/>
              </w:rPr>
            </w:pPr>
            <w:r w:rsidRPr="009A25D8">
              <w:rPr>
                <w:b/>
                <w:bCs/>
                <w:sz w:val="21"/>
                <w:szCs w:val="21"/>
              </w:rPr>
              <w:t xml:space="preserve">出台时间</w:t>
            </w:r>
          </w:p>
        </w:tc>
        <w:tc>
          <w:tcPr>
            <w:tcW w:w="782" w:type="pct"/>
            <w:vAlign w:val="center"/>
          </w:tcPr>
          <w:p>
            <w:pPr>
              <w:spacing w:line="360" w:lineRule="exact"/>
              <w:jc w:val="center"/>
              <w:rPr>
                <w:b/>
                <w:bCs/>
                <w:sz w:val="21"/>
                <w:szCs w:val="21"/>
              </w:rPr>
            </w:pPr>
            <w:r w:rsidRPr="009A25D8">
              <w:rPr>
                <w:b/>
                <w:bCs/>
                <w:sz w:val="21"/>
                <w:szCs w:val="21"/>
              </w:rPr>
              <w:t xml:space="preserve">调控政策</w:t>
            </w:r>
          </w:p>
        </w:tc>
        <w:tc>
          <w:tcPr>
            <w:tcW w:w="2941" w:type="pct"/>
            <w:vAlign w:val="center"/>
          </w:tcPr>
          <w:p>
            <w:pPr>
              <w:spacing w:line="360" w:lineRule="exact"/>
              <w:jc w:val="center"/>
              <w:rPr>
                <w:b/>
                <w:bCs/>
                <w:sz w:val="21"/>
                <w:szCs w:val="21"/>
              </w:rPr>
            </w:pPr>
            <w:r w:rsidRPr="009A25D8">
              <w:rPr>
                <w:b/>
                <w:bCs/>
                <w:sz w:val="21"/>
                <w:szCs w:val="21"/>
              </w:rPr>
              <w:t xml:space="preserve">具体内容</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19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积分落户、分值调整</w:t>
            </w:r>
          </w:p>
        </w:tc>
        <w:tc>
          <w:tcPr>
            <w:tcW w:w="2941" w:type="pct"/>
            <w:vAlign w:val="center"/>
          </w:tcPr>
          <w:p>
            <w:pPr>
              <w:spacing w:line="360" w:lineRule="exact"/>
              <w:rPr>
                <w:sz w:val="21"/>
                <w:szCs w:val="21"/>
              </w:rPr>
            </w:pPr>
            <w:r w:rsidRPr="009A25D8">
              <w:rPr>
                <w:sz w:val="21"/>
                <w:szCs w:val="21"/>
              </w:rPr>
              <w:t xml:space="preserve">苏州六区总积分降至</w:t>
            </w:r>
            <w:r w:rsidRPr="009A25D8">
              <w:rPr>
                <w:sz w:val="21"/>
                <w:szCs w:val="21"/>
              </w:rPr>
              <w:t xml:space="preserve">400</w:t>
            </w:r>
            <w:r w:rsidRPr="009A25D8">
              <w:rPr>
                <w:sz w:val="21"/>
                <w:szCs w:val="21"/>
              </w:rPr>
              <w:t xml:space="preserve">分，</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22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四县市房迁落户政策</w:t>
            </w:r>
          </w:p>
        </w:tc>
        <w:tc>
          <w:tcPr>
            <w:tcW w:w="2941" w:type="pct"/>
            <w:vAlign w:val="center"/>
          </w:tcPr>
          <w:p>
            <w:pPr>
              <w:spacing w:line="360" w:lineRule="exact"/>
              <w:rPr>
                <w:sz w:val="21"/>
                <w:szCs w:val="21"/>
              </w:rPr>
            </w:pPr>
            <w:r w:rsidRPr="009A25D8">
              <w:rPr>
                <w:sz w:val="21"/>
                <w:szCs w:val="21"/>
              </w:rPr>
              <w:t xml:space="preserve">苏州四县市房迁落户，租房可以落户，</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4</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限购调整</w:t>
            </w:r>
          </w:p>
        </w:tc>
        <w:tc>
          <w:tcPr>
            <w:tcW w:w="2941" w:type="pct"/>
            <w:vAlign w:val="center"/>
          </w:tcPr>
          <w:p>
            <w:pPr>
              <w:spacing w:line="360" w:lineRule="exact"/>
              <w:rPr>
                <w:sz w:val="21"/>
                <w:szCs w:val="21"/>
              </w:rPr>
            </w:pPr>
            <w:r w:rsidRPr="009A25D8">
              <w:rPr>
                <w:sz w:val="21"/>
                <w:szCs w:val="21"/>
              </w:rPr>
              <w:t xml:space="preserve">相城区、吴中区、高新区除狮山及横塘外区域外地人购买首套房个税减少为连续</w:t>
            </w:r>
            <w:r w:rsidRPr="009A25D8">
              <w:rPr>
                <w:sz w:val="21"/>
                <w:szCs w:val="21"/>
              </w:rPr>
              <w:t xml:space="preserve">3</w:t>
            </w:r>
            <w:r w:rsidRPr="009A25D8">
              <w:rPr>
                <w:sz w:val="21"/>
                <w:szCs w:val="21"/>
              </w:rPr>
              <w:t xml:space="preserve">个月</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公积金贷款首次使用上限提升到</w:t>
            </w:r>
            <w:r w:rsidRPr="009A25D8">
              <w:rPr>
                <w:sz w:val="21"/>
                <w:szCs w:val="21"/>
              </w:rPr>
              <w:t xml:space="preserve">15</w:t>
            </w:r>
            <w:r w:rsidRPr="009A25D8">
              <w:rPr>
                <w:sz w:val="21"/>
                <w:szCs w:val="21"/>
              </w:rPr>
              <w:t xml:space="preserve">倍，二次使用提升到</w:t>
            </w:r>
            <w:r w:rsidRPr="009A25D8">
              <w:rPr>
                <w:sz w:val="21"/>
                <w:szCs w:val="21"/>
              </w:rPr>
              <w:t xml:space="preserve">10</w:t>
            </w:r>
            <w:r w:rsidRPr="009A25D8">
              <w:rPr>
                <w:sz w:val="21"/>
                <w:szCs w:val="21"/>
              </w:rPr>
              <w:t xml:space="preserve">倍，有两个及以上未成年子女上限上浮</w:t>
            </w:r>
            <w:r w:rsidRPr="009A25D8">
              <w:rPr>
                <w:sz w:val="21"/>
                <w:szCs w:val="21"/>
              </w:rPr>
              <w:t xml:space="preserve">30%</w:t>
            </w:r>
            <w:r w:rsidRPr="009A25D8">
              <w:rPr>
                <w:sz w:val="21"/>
                <w:szCs w:val="21"/>
              </w:rPr>
              <w:t xml:space="preserve">，最高</w:t>
            </w:r>
            <w:r w:rsidRPr="009A25D8">
              <w:rPr>
                <w:sz w:val="21"/>
                <w:szCs w:val="21"/>
              </w:rPr>
              <w:t xml:space="preserve">117</w:t>
            </w:r>
            <w:r w:rsidRPr="009A25D8">
              <w:rPr>
                <w:sz w:val="21"/>
                <w:szCs w:val="21"/>
              </w:rPr>
              <w:t xml:space="preserve">万，除园区外，市区开启</w:t>
            </w:r>
            <w:r w:rsidRPr="009A25D8">
              <w:rPr>
                <w:sz w:val="21"/>
                <w:szCs w:val="21"/>
              </w:rPr>
              <w:t xml:space="preserve">“</w:t>
            </w:r>
            <w:r w:rsidRPr="009A25D8">
              <w:rPr>
                <w:sz w:val="21"/>
                <w:szCs w:val="21"/>
              </w:rPr>
              <w:t xml:space="preserve">商转公</w:t>
            </w:r>
            <w:r w:rsidRPr="009A25D8">
              <w:rPr>
                <w:sz w:val="21"/>
                <w:szCs w:val="21"/>
              </w:rPr>
              <w:t xml:space="preserve">”</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契税补贴</w:t>
            </w:r>
          </w:p>
        </w:tc>
        <w:tc>
          <w:tcPr>
            <w:tcW w:w="2941" w:type="pct"/>
            <w:vAlign w:val="center"/>
          </w:tcPr>
          <w:p>
            <w:pPr>
              <w:spacing w:line="360" w:lineRule="exact"/>
              <w:rPr>
                <w:sz w:val="21"/>
                <w:szCs w:val="21"/>
              </w:rPr>
            </w:pPr>
            <w:r w:rsidRPr="009A25D8">
              <w:rPr>
                <w:sz w:val="21"/>
                <w:szCs w:val="21"/>
              </w:rPr>
              <w:t xml:space="preserve">高新区、吴中区、相城区、吴江区、张家港市、太仓市等，出台契税补贴，符合条件购房补贴</w:t>
            </w:r>
            <w:r w:rsidRPr="009A25D8">
              <w:rPr>
                <w:sz w:val="21"/>
                <w:szCs w:val="21"/>
              </w:rPr>
              <w:t xml:space="preserve">50%</w:t>
            </w:r>
            <w:r w:rsidRPr="009A25D8">
              <w:rPr>
                <w:sz w:val="21"/>
                <w:szCs w:val="21"/>
              </w:rPr>
              <w:t xml:space="preserve">契税</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购房可提取公积金作为首付</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6</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园区商转公</w:t>
            </w:r>
          </w:p>
        </w:tc>
        <w:tc>
          <w:tcPr>
            <w:tcW w:w="2941" w:type="pct"/>
            <w:vAlign w:val="center"/>
          </w:tcPr>
          <w:p>
            <w:pPr>
              <w:spacing w:line="360" w:lineRule="exact"/>
              <w:rPr>
                <w:sz w:val="21"/>
                <w:szCs w:val="21"/>
              </w:rPr>
            </w:pPr>
            <w:r w:rsidRPr="009A25D8">
              <w:rPr>
                <w:sz w:val="21"/>
                <w:szCs w:val="21"/>
              </w:rPr>
              <w:t xml:space="preserve">园区商业贷款也可转为公积金贷款，与苏州全市同步</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LPR</w:t>
            </w: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LPR</w:t>
            </w:r>
            <w:r w:rsidRPr="009A25D8">
              <w:rPr>
                <w:sz w:val="21"/>
                <w:szCs w:val="21"/>
              </w:rPr>
              <w:t xml:space="preserve">降低</w:t>
            </w:r>
            <w:r w:rsidRPr="009A25D8">
              <w:rPr>
                <w:sz w:val="21"/>
                <w:szCs w:val="21"/>
              </w:rPr>
              <w:t xml:space="preserve">10BP</w:t>
            </w:r>
            <w:r w:rsidRPr="009A25D8">
              <w:rPr>
                <w:sz w:val="21"/>
                <w:szCs w:val="21"/>
              </w:rPr>
              <w:t xml:space="preserve">，苏州首套房贷利率由</w:t>
            </w:r>
            <w:r w:rsidRPr="009A25D8">
              <w:rPr>
                <w:sz w:val="21"/>
                <w:szCs w:val="21"/>
              </w:rPr>
              <w:t xml:space="preserve">4.1%</w:t>
            </w:r>
            <w:r w:rsidRPr="009A25D8">
              <w:rPr>
                <w:sz w:val="21"/>
                <w:szCs w:val="21"/>
              </w:rPr>
              <w:t xml:space="preserve">降至</w:t>
            </w:r>
            <w:r w:rsidRPr="009A25D8">
              <w:rPr>
                <w:sz w:val="21"/>
                <w:szCs w:val="21"/>
              </w:rPr>
              <w:t xml:space="preserve">4%</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执行认房不认贷</w:t>
            </w:r>
          </w:p>
        </w:tc>
        <w:tc>
          <w:tcPr>
            <w:tcW w:w="2941" w:type="pct"/>
            <w:vAlign w:val="center"/>
          </w:tcPr>
          <w:p>
            <w:pPr>
              <w:spacing w:line="360" w:lineRule="exact"/>
              <w:rPr>
                <w:sz w:val="21"/>
                <w:szCs w:val="21"/>
              </w:rPr>
            </w:pPr>
            <w:r w:rsidRPr="009A25D8">
              <w:rPr>
                <w:sz w:val="21"/>
                <w:szCs w:val="21"/>
              </w:rPr>
              <w:t xml:space="preserve">家庭成员在苏州市名下无成套住房的，不论是否已利用贷款购买过住房，均按首套房执行信贷政策</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限购放松</w:t>
            </w:r>
          </w:p>
        </w:tc>
        <w:tc>
          <w:tcPr>
            <w:tcW w:w="2941" w:type="pct"/>
            <w:vAlign w:val="center"/>
          </w:tcPr>
          <w:p>
            <w:pPr>
              <w:spacing w:line="360" w:lineRule="exact"/>
              <w:rPr>
                <w:sz w:val="21"/>
                <w:szCs w:val="21"/>
              </w:rPr>
            </w:pPr>
            <w:r w:rsidRPr="009A25D8">
              <w:rPr>
                <w:sz w:val="21"/>
                <w:szCs w:val="21"/>
              </w:rPr>
              <w:t xml:space="preserve">取消外地户籍购房限制，</w:t>
            </w:r>
            <w:r w:rsidRPr="009A25D8">
              <w:rPr>
                <w:sz w:val="21"/>
                <w:szCs w:val="21"/>
              </w:rPr>
              <w:t xml:space="preserve">120m</w:t>
            </w:r>
            <w:r w:rsidRPr="009A25D8">
              <w:rPr>
                <w:sz w:val="21"/>
                <w:szCs w:val="21"/>
                <w:vertAlign w:val="superscript"/>
              </w:rPr>
              <w:t xml:space="preserve">2</w:t>
            </w:r>
            <w:r w:rsidRPr="009A25D8">
              <w:rPr>
                <w:sz w:val="21"/>
                <w:szCs w:val="21"/>
              </w:rPr>
              <w:t xml:space="preserve">以内限购</w:t>
            </w:r>
            <w:r w:rsidRPr="009A25D8">
              <w:rPr>
                <w:sz w:val="21"/>
                <w:szCs w:val="21"/>
              </w:rPr>
              <w:t xml:space="preserve">3</w:t>
            </w:r>
            <w:r w:rsidRPr="009A25D8">
              <w:rPr>
                <w:sz w:val="21"/>
                <w:szCs w:val="21"/>
              </w:rPr>
              <w:t xml:space="preserve">套、</w:t>
            </w:r>
            <w:r w:rsidRPr="009A25D8">
              <w:rPr>
                <w:sz w:val="21"/>
                <w:szCs w:val="21"/>
              </w:rPr>
              <w:t xml:space="preserve">120m</w:t>
            </w:r>
            <w:r w:rsidRPr="009A25D8">
              <w:rPr>
                <w:sz w:val="21"/>
                <w:szCs w:val="21"/>
                <w:vertAlign w:val="superscript"/>
              </w:rPr>
              <w:t xml:space="preserve">2</w:t>
            </w:r>
            <w:r w:rsidRPr="009A25D8">
              <w:rPr>
                <w:sz w:val="21"/>
                <w:szCs w:val="21"/>
              </w:rPr>
              <w:t xml:space="preserve">及以上不限套数，落实降低首套房、</w:t>
            </w:r>
            <w:r w:rsidRPr="009A25D8">
              <w:rPr>
                <w:sz w:val="21"/>
                <w:szCs w:val="21"/>
              </w:rPr>
              <w:t xml:space="preserve">2</w:t>
            </w:r>
            <w:r w:rsidRPr="009A25D8">
              <w:rPr>
                <w:sz w:val="21"/>
                <w:szCs w:val="21"/>
              </w:rPr>
              <w:t xml:space="preserve">套房执行首付比例和贷款利率</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12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贷款政策调</w:t>
            </w:r>
            <w:r w:rsidRPr="009A25D8">
              <w:rPr>
                <w:sz w:val="21"/>
                <w:szCs w:val="21"/>
              </w:rPr>
              <w:t xml:space="preserve">整</w:t>
            </w:r>
          </w:p>
        </w:tc>
        <w:tc>
          <w:tcPr>
            <w:tcW w:w="2941" w:type="pct"/>
            <w:vAlign w:val="center"/>
          </w:tcPr>
          <w:p>
            <w:pPr>
              <w:spacing w:line="360" w:lineRule="exact"/>
              <w:rPr>
                <w:sz w:val="21"/>
                <w:szCs w:val="21"/>
              </w:rPr>
            </w:pPr>
            <w:r w:rsidRPr="009A25D8">
              <w:rPr>
                <w:sz w:val="21"/>
                <w:szCs w:val="21"/>
              </w:rPr>
              <w:t xml:space="preserve">首套房及二套房无贷款或贷款结清首付比例从</w:t>
            </w:r>
            <w:r w:rsidRPr="009A25D8">
              <w:rPr>
                <w:sz w:val="21"/>
                <w:szCs w:val="21"/>
              </w:rPr>
              <w:t xml:space="preserve">3</w:t>
            </w:r>
            <w:r w:rsidRPr="009A25D8">
              <w:rPr>
                <w:sz w:val="21"/>
                <w:szCs w:val="21"/>
              </w:rPr>
              <w:t xml:space="preserve">成下</w:t>
            </w:r>
            <w:r w:rsidRPr="009A25D8">
              <w:rPr>
                <w:sz w:val="21"/>
                <w:szCs w:val="21"/>
              </w:rPr>
              <w:t xml:space="preserve">降为</w:t>
            </w:r>
            <w:r w:rsidRPr="009A25D8">
              <w:rPr>
                <w:sz w:val="21"/>
                <w:szCs w:val="21"/>
              </w:rPr>
              <w:t xml:space="preserve">2</w:t>
            </w:r>
            <w:r w:rsidRPr="009A25D8">
              <w:rPr>
                <w:sz w:val="21"/>
                <w:szCs w:val="21"/>
              </w:rPr>
              <w:t xml:space="preserve">成，二套房未结清的为</w:t>
            </w:r>
            <w:r w:rsidRPr="009A25D8">
              <w:rPr>
                <w:sz w:val="21"/>
                <w:szCs w:val="21"/>
              </w:rPr>
              <w:t xml:space="preserve">3</w:t>
            </w:r>
            <w:r w:rsidRPr="009A25D8">
              <w:rPr>
                <w:sz w:val="21"/>
                <w:szCs w:val="21"/>
              </w:rPr>
              <w:t xml:space="preserve">成</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上调公积金最高额度，个人最高可贷</w:t>
            </w:r>
            <w:r w:rsidRPr="009A25D8">
              <w:rPr>
                <w:sz w:val="21"/>
                <w:szCs w:val="21"/>
              </w:rPr>
              <w:t xml:space="preserve">80</w:t>
            </w:r>
            <w:r w:rsidRPr="009A25D8">
              <w:rPr>
                <w:sz w:val="21"/>
                <w:szCs w:val="21"/>
              </w:rPr>
              <w:t xml:space="preserve">万，家庭最高可贷</w:t>
            </w:r>
            <w:r w:rsidRPr="009A25D8">
              <w:rPr>
                <w:sz w:val="21"/>
                <w:szCs w:val="21"/>
              </w:rPr>
              <w:t xml:space="preserve">110</w:t>
            </w:r>
            <w:r w:rsidRPr="009A25D8">
              <w:rPr>
                <w:sz w:val="21"/>
                <w:szCs w:val="21"/>
              </w:rPr>
              <w:t xml:space="preserve">万，公积金贷款期限最长不超过</w:t>
            </w:r>
            <w:r w:rsidRPr="009A25D8">
              <w:rPr>
                <w:sz w:val="21"/>
                <w:szCs w:val="21"/>
              </w:rPr>
              <w:t xml:space="preserve">30</w:t>
            </w:r>
            <w:r w:rsidRPr="009A25D8">
              <w:rPr>
                <w:sz w:val="21"/>
                <w:szCs w:val="21"/>
              </w:rPr>
              <w:t xml:space="preserve">年</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10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放宽落户</w:t>
            </w:r>
          </w:p>
          <w:p>
            <w:pPr>
              <w:spacing w:line="360" w:lineRule="exact"/>
              <w:jc w:val="center"/>
              <w:rPr>
                <w:sz w:val="21"/>
                <w:szCs w:val="21"/>
              </w:rPr>
            </w:pPr>
            <w:r w:rsidRPr="009A25D8">
              <w:rPr>
                <w:sz w:val="21"/>
                <w:szCs w:val="21"/>
              </w:rPr>
              <w:t xml:space="preserve">条件</w:t>
            </w:r>
          </w:p>
        </w:tc>
        <w:tc>
          <w:tcPr>
            <w:tcW w:w="2941" w:type="pct"/>
            <w:vAlign w:val="center"/>
          </w:tcPr>
          <w:p>
            <w:pPr>
              <w:spacing w:line="360" w:lineRule="exact"/>
              <w:rPr>
                <w:sz w:val="21"/>
                <w:szCs w:val="21"/>
              </w:rPr>
            </w:pPr>
            <w:r w:rsidRPr="009A25D8">
              <w:rPr>
                <w:sz w:val="21"/>
                <w:szCs w:val="21"/>
              </w:rPr>
              <w:t xml:space="preserve">具有专业技术人员职业资格的人员纳入人才落户对象，非全日制本科也可落户</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30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土拍规则</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取消最高限价，改为价高者得；取消不得设置带有私家花园的低层独立式住宅的规定，别墅重回新房市场</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11</w:t>
            </w:r>
            <w:r w:rsidRPr="009A25D8">
              <w:rPr>
                <w:sz w:val="21"/>
                <w:szCs w:val="21"/>
              </w:rPr>
              <w:t xml:space="preserve">月</w:t>
            </w:r>
            <w:r w:rsidRPr="009A25D8">
              <w:rPr>
                <w:sz w:val="21"/>
                <w:szCs w:val="21"/>
              </w:rPr>
              <w:t xml:space="preserve">27</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人才落户</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《市政府关于印发苏州市人才落户管理办法的通知出台，人才落户进一步放宽》</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4</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实行卖旧买新和契税</w:t>
            </w:r>
          </w:p>
          <w:p>
            <w:pPr>
              <w:spacing w:line="360" w:lineRule="exact"/>
              <w:jc w:val="center"/>
              <w:rPr>
                <w:sz w:val="21"/>
                <w:szCs w:val="21"/>
              </w:rPr>
            </w:pPr>
            <w:r w:rsidRPr="009A25D8">
              <w:rPr>
                <w:sz w:val="21"/>
                <w:szCs w:val="21"/>
              </w:rPr>
              <w:t xml:space="preserve">补贴</w:t>
            </w:r>
          </w:p>
        </w:tc>
        <w:tc>
          <w:tcPr>
            <w:tcW w:w="2941" w:type="pct"/>
            <w:vAlign w:val="center"/>
          </w:tcPr>
          <w:p>
            <w:pPr>
              <w:spacing w:line="360" w:lineRule="exact"/>
              <w:rPr>
                <w:sz w:val="21"/>
                <w:szCs w:val="21"/>
              </w:rPr>
            </w:pPr>
            <w:r w:rsidRPr="009A25D8">
              <w:rPr>
                <w:sz w:val="21"/>
                <w:szCs w:val="21"/>
              </w:rPr>
              <w:t xml:space="preserve">苏州正式启动住房</w:t>
            </w:r>
            <w:r w:rsidRPr="009A25D8">
              <w:rPr>
                <w:sz w:val="21"/>
                <w:szCs w:val="21"/>
              </w:rPr>
              <w:t xml:space="preserve">“</w:t>
            </w:r>
            <w:r w:rsidRPr="009A25D8">
              <w:rPr>
                <w:sz w:val="21"/>
                <w:szCs w:val="21"/>
              </w:rPr>
              <w:t xml:space="preserve">换新购</w:t>
            </w:r>
            <w:r w:rsidRPr="009A25D8">
              <w:rPr>
                <w:sz w:val="21"/>
                <w:szCs w:val="21"/>
              </w:rPr>
              <w:t xml:space="preserve">”</w:t>
            </w:r>
            <w:r w:rsidRPr="009A25D8">
              <w:rPr>
                <w:sz w:val="21"/>
                <w:szCs w:val="21"/>
              </w:rPr>
              <w:t xml:space="preserve">，各区细则陆续出台</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相城区实行收旧换新</w:t>
            </w:r>
          </w:p>
        </w:tc>
        <w:tc>
          <w:tcPr>
            <w:tcW w:w="2941" w:type="pct"/>
            <w:vAlign w:val="center"/>
          </w:tcPr>
          <w:p>
            <w:pPr>
              <w:spacing w:line="360" w:lineRule="exact"/>
              <w:rPr>
                <w:sz w:val="21"/>
                <w:szCs w:val="21"/>
              </w:rPr>
            </w:pPr>
            <w:r w:rsidRPr="009A25D8">
              <w:rPr>
                <w:sz w:val="21"/>
                <w:szCs w:val="21"/>
              </w:rPr>
              <w:t xml:space="preserve">相城区二手房面积低于</w:t>
            </w:r>
            <w:r w:rsidRPr="009A25D8">
              <w:rPr>
                <w:sz w:val="21"/>
                <w:szCs w:val="21"/>
              </w:rPr>
              <w:t xml:space="preserve">144m</w:t>
            </w:r>
            <w:r w:rsidRPr="009A25D8">
              <w:rPr>
                <w:sz w:val="21"/>
                <w:szCs w:val="21"/>
                <w:vertAlign w:val="superscript"/>
              </w:rPr>
              <w:t xml:space="preserve">2</w:t>
            </w:r>
            <w:r w:rsidRPr="009A25D8">
              <w:rPr>
                <w:sz w:val="21"/>
                <w:szCs w:val="21"/>
              </w:rPr>
              <w:t xml:space="preserve">，可换购一套新房，三个楼盘可换购</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吴江实行房票安置政策</w:t>
            </w:r>
          </w:p>
        </w:tc>
        <w:tc>
          <w:tcPr>
            <w:tcW w:w="2941" w:type="pct"/>
            <w:vAlign w:val="center"/>
          </w:tcPr>
          <w:p>
            <w:pPr>
              <w:spacing w:line="360" w:lineRule="exact"/>
              <w:rPr>
                <w:sz w:val="21"/>
                <w:szCs w:val="21"/>
              </w:rPr>
            </w:pPr>
            <w:r w:rsidRPr="009A25D8">
              <w:rPr>
                <w:sz w:val="21"/>
                <w:szCs w:val="21"/>
              </w:rPr>
              <w:t xml:space="preserve">同里发出全区首张房票</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园区取消九年一学位</w:t>
            </w:r>
          </w:p>
        </w:tc>
        <w:tc>
          <w:tcPr>
            <w:tcW w:w="2941" w:type="pct"/>
            <w:vAlign w:val="center"/>
          </w:tcPr>
          <w:p>
            <w:pPr>
              <w:spacing w:line="360" w:lineRule="exact"/>
              <w:rPr>
                <w:sz w:val="21"/>
                <w:szCs w:val="21"/>
              </w:rPr>
            </w:pPr>
            <w:r w:rsidRPr="009A25D8">
              <w:rPr>
                <w:sz w:val="21"/>
                <w:szCs w:val="21"/>
              </w:rPr>
              <w:t xml:space="preserve">园区取消九年一学位，实施五年一学位</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落户积分</w:t>
            </w:r>
          </w:p>
          <w:p>
            <w:pPr>
              <w:spacing w:line="360" w:lineRule="exact"/>
              <w:jc w:val="center"/>
              <w:rPr>
                <w:sz w:val="21"/>
                <w:szCs w:val="21"/>
              </w:rPr>
            </w:pPr>
            <w:r w:rsidRPr="009A25D8">
              <w:rPr>
                <w:sz w:val="21"/>
                <w:szCs w:val="21"/>
              </w:rPr>
              <w:t xml:space="preserve">下调</w:t>
            </w:r>
          </w:p>
        </w:tc>
        <w:tc>
          <w:tcPr>
            <w:tcW w:w="2941" w:type="pct"/>
            <w:vAlign w:val="center"/>
          </w:tcPr>
          <w:p>
            <w:pPr>
              <w:spacing w:line="360" w:lineRule="exact"/>
              <w:rPr>
                <w:sz w:val="21"/>
                <w:szCs w:val="21"/>
              </w:rPr>
            </w:pPr>
            <w:r w:rsidRPr="009A25D8">
              <w:rPr>
                <w:sz w:val="21"/>
                <w:szCs w:val="21"/>
              </w:rPr>
              <w:t xml:space="preserve">苏州积分落户门槛再次降低，准入分值下调至</w:t>
            </w:r>
            <w:r w:rsidRPr="009A25D8">
              <w:rPr>
                <w:sz w:val="21"/>
                <w:szCs w:val="21"/>
              </w:rPr>
              <w:t xml:space="preserve">250</w:t>
            </w:r>
            <w:r w:rsidRPr="009A25D8">
              <w:rPr>
                <w:sz w:val="21"/>
                <w:szCs w:val="21"/>
              </w:rPr>
              <w:t xml:space="preserve">分</w:t>
            </w:r>
          </w:p>
        </w:tc>
      </w:tr>
    </w:tbl>
    <w:p>
      <w:pPr>
        <w:spacing w:line="480" w:lineRule="exact"/>
        <w:ind w:firstLine="480" w:firstLineChars="200"/>
        <w:jc w:val="both"/>
        <w:rPr>
          <w:rFonts w:eastAsia="黑体"/>
          <w:sz w:val="24"/>
        </w:rPr>
      </w:pPr>
      <w:r w:rsidRPr="009A25D8">
        <w:rPr>
          <w:rFonts w:eastAsia="黑体"/>
          <w:sz w:val="24"/>
        </w:rPr>
        <w:t xml:space="preserve">4</w:t>
      </w:r>
      <w:r w:rsidRPr="009A25D8">
        <w:rPr>
          <w:rFonts w:hint="eastAsia" w:eastAsia="黑体"/>
          <w:sz w:val="24"/>
        </w:rPr>
        <w:t xml:space="preserve">、住宅房地产交易税收政策</w:t>
      </w:r>
    </w:p>
    <w:p>
      <w:pPr>
        <w:spacing w:line="480" w:lineRule="exact"/>
        <w:ind w:firstLine="480" w:firstLineChars="200"/>
        <w:jc w:val="both"/>
        <w:rPr>
          <w:sz w:val="24"/>
        </w:rPr>
      </w:pPr>
      <w:r w:rsidRPr="009A25D8">
        <w:rPr>
          <w:sz w:val="24"/>
        </w:rPr>
        <w:t xml:space="preserve">4.1</w:t>
      </w:r>
      <w:r w:rsidRPr="009A25D8">
        <w:rPr>
          <w:rFonts w:hint="eastAsia"/>
          <w:sz w:val="24"/>
        </w:rPr>
        <w:t xml:space="preserve">个人购入房地产</w:t>
      </w:r>
    </w:p>
    <w:p>
      <w:pPr>
        <w:spacing w:line="480" w:lineRule="exact"/>
        <w:ind w:firstLine="480" w:firstLineChars="200"/>
        <w:jc w:val="both"/>
        <w:rPr>
          <w:sz w:val="24"/>
        </w:rPr>
      </w:pPr>
      <w:r w:rsidRPr="009A25D8">
        <w:rPr>
          <w:rFonts w:hint="eastAsia"/>
          <w:sz w:val="24"/>
        </w:rPr>
        <w:t xml:space="preserve">自</w:t>
      </w:r>
      <w:r w:rsidRPr="009A25D8">
        <w:rPr>
          <w:sz w:val="24"/>
        </w:rPr>
        <w:t xml:space="preserve">2016 </w:t>
      </w:r>
      <w:r w:rsidRPr="009A25D8">
        <w:rPr>
          <w:rFonts w:hint="eastAsia"/>
          <w:sz w:val="24"/>
        </w:rPr>
        <w:t xml:space="preserve">年</w:t>
      </w:r>
      <w:r w:rsidRPr="009A25D8">
        <w:rPr>
          <w:sz w:val="24"/>
        </w:rPr>
        <w:t xml:space="preserve">2</w:t>
      </w:r>
      <w:r w:rsidRPr="009A25D8">
        <w:rPr>
          <w:rFonts w:hint="eastAsia"/>
          <w:sz w:val="24"/>
        </w:rPr>
        <w:t xml:space="preserve">月</w:t>
      </w:r>
      <w:r w:rsidRPr="009A25D8">
        <w:rPr>
          <w:sz w:val="24"/>
        </w:rPr>
        <w:t xml:space="preserve">22</w:t>
      </w:r>
      <w:r w:rsidRPr="009A25D8">
        <w:rPr>
          <w:rFonts w:hint="eastAsia"/>
          <w:sz w:val="24"/>
        </w:rPr>
        <w:t xml:space="preserve">日起，对个人购买家庭唯一住房（家庭成员范围包括购房人、配偶以及未成年子女，下同），面积为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1.5%</w:t>
      </w:r>
      <w:r w:rsidRPr="009A25D8">
        <w:rPr>
          <w:rFonts w:hint="eastAsia"/>
          <w:sz w:val="24"/>
        </w:rPr>
        <w:t xml:space="preserve">的税率征收契税。对个人购买家庭第二套改善性住房，面积为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2%</w:t>
      </w:r>
      <w:r w:rsidRPr="009A25D8">
        <w:rPr>
          <w:rFonts w:hint="eastAsia"/>
          <w:sz w:val="24"/>
        </w:rPr>
        <w:t xml:space="preserve">的税率征收契税。对个人购买家庭第三套及以</w:t>
      </w:r>
      <w:r w:rsidRPr="005B0248">
        <w:rPr>
          <w:rFonts w:hint="eastAsia"/>
          <w:sz w:val="24"/>
        </w:rPr>
        <w:t xml:space="preserve">上住房，一律按</w:t>
      </w:r>
      <w:r w:rsidRPr="005B0248">
        <w:rPr>
          <w:sz w:val="24"/>
        </w:rPr>
        <w:t xml:space="preserve">3%</w:t>
      </w:r>
      <w:r w:rsidRPr="005B0248">
        <w:rPr>
          <w:rFonts w:hint="eastAsia"/>
          <w:sz w:val="24"/>
        </w:rPr>
        <w:t xml:space="preserve">的税率征收契税。</w:t>
      </w:r>
    </w:p>
    <w:p>
      <w:pPr>
        <w:spacing w:line="480" w:lineRule="exact"/>
        <w:ind w:firstLine="480" w:firstLineChars="200"/>
        <w:jc w:val="both"/>
        <w:rPr>
          <w:sz w:val="24"/>
        </w:rPr>
      </w:pPr>
      <w:r w:rsidRPr="005B0248">
        <w:rPr>
          <w:sz w:val="24"/>
        </w:rPr>
        <w:t xml:space="preserve">4.2</w:t>
      </w:r>
      <w:r w:rsidRPr="005B0248">
        <w:rPr>
          <w:rFonts w:hint="eastAsia"/>
          <w:sz w:val="24"/>
        </w:rPr>
        <w:t xml:space="preserve">个人转让房地产</w:t>
      </w:r>
    </w:p>
    <w:p>
      <w:pPr>
        <w:spacing w:line="480" w:lineRule="exact"/>
        <w:ind w:firstLine="480" w:firstLineChars="200"/>
        <w:jc w:val="both"/>
        <w:rPr>
          <w:sz w:val="24"/>
        </w:rPr>
      </w:pPr>
      <w:r w:rsidRPr="005B0248">
        <w:rPr>
          <w:sz w:val="24"/>
        </w:rPr>
        <w:t xml:space="preserve">4.2.1</w:t>
      </w:r>
      <w:r w:rsidRPr="005B0248">
        <w:rPr>
          <w:rFonts w:hint="eastAsia"/>
          <w:sz w:val="24"/>
        </w:rPr>
        <w:t xml:space="preserve">增值税：个人将购买不足</w:t>
      </w:r>
      <w:r w:rsidRPr="005B0248">
        <w:rPr>
          <w:sz w:val="24"/>
        </w:rPr>
        <w:t xml:space="preserve">2</w:t>
      </w:r>
      <w:r w:rsidRPr="005B0248">
        <w:rPr>
          <w:rFonts w:hint="eastAsia"/>
          <w:sz w:val="24"/>
        </w:rPr>
        <w:t xml:space="preserve">年的住房对外销售的，按照</w:t>
      </w:r>
      <w:r w:rsidRPr="005B0248">
        <w:rPr>
          <w:sz w:val="24"/>
        </w:rPr>
        <w:t xml:space="preserve">5%</w:t>
      </w:r>
      <w:r w:rsidRPr="005B0248">
        <w:rPr>
          <w:rFonts w:hint="eastAsia"/>
          <w:sz w:val="24"/>
        </w:rPr>
        <w:t xml:space="preserve">的征收率全额缴纳增值税；个人将购买</w:t>
      </w:r>
      <w:r w:rsidRPr="005B0248">
        <w:rPr>
          <w:sz w:val="24"/>
        </w:rPr>
        <w:t xml:space="preserve">2</w:t>
      </w:r>
      <w:r w:rsidRPr="005B0248">
        <w:rPr>
          <w:rFonts w:hint="eastAsia"/>
          <w:sz w:val="24"/>
        </w:rPr>
        <w:t xml:space="preserve">年以上（含</w:t>
      </w:r>
      <w:r w:rsidRPr="005B0248">
        <w:rPr>
          <w:sz w:val="24"/>
        </w:rPr>
        <w:t xml:space="preserve">2</w:t>
      </w:r>
      <w:r w:rsidRPr="005B0248">
        <w:rPr>
          <w:rFonts w:hint="eastAsia"/>
          <w:sz w:val="24"/>
        </w:rPr>
        <w:t xml:space="preserve">年）的住房对外销售的，免征增值税。</w:t>
      </w:r>
    </w:p>
    <w:p>
      <w:pPr>
        <w:spacing w:line="480" w:lineRule="exact"/>
        <w:ind w:firstLine="425" w:firstLineChars="177"/>
        <w:rPr>
          <w:sz w:val="24"/>
        </w:rPr>
      </w:pPr>
      <w:r w:rsidRPr="005B0248">
        <w:rPr>
          <w:sz w:val="24"/>
        </w:rPr>
        <w:t xml:space="preserve">4.2.2 </w:t>
      </w:r>
      <w:r w:rsidRPr="005B0248">
        <w:rPr>
          <w:rFonts w:hint="eastAsia"/>
          <w:sz w:val="24"/>
        </w:rPr>
        <w:t xml:space="preserve">城市建设维护税、教育费附加、地方教育费附加：随增值税附征。</w:t>
      </w:r>
    </w:p>
    <w:p>
      <w:pPr>
        <w:spacing w:line="480" w:lineRule="exact"/>
        <w:ind w:firstLine="480" w:firstLineChars="200"/>
        <w:jc w:val="both"/>
        <w:rPr>
          <w:sz w:val="24"/>
        </w:rPr>
      </w:pPr>
      <w:r w:rsidRPr="005B0248">
        <w:rPr>
          <w:sz w:val="24"/>
        </w:rPr>
        <w:t xml:space="preserve">4.2.3</w:t>
      </w:r>
      <w:r w:rsidRPr="005B0248">
        <w:rPr>
          <w:rFonts w:hint="eastAsia"/>
          <w:sz w:val="24"/>
        </w:rPr>
        <w:t xml:space="preserve">个人所得税：能提供完善、准确凭证的，据实征收，按转让收入减除房产原值及合理税费的余额的</w:t>
      </w:r>
      <w:r w:rsidRPr="005B0248">
        <w:rPr>
          <w:sz w:val="24"/>
        </w:rPr>
        <w:t xml:space="preserve">20%</w:t>
      </w:r>
      <w:r w:rsidRPr="005B0248">
        <w:rPr>
          <w:rFonts w:hint="eastAsia"/>
          <w:sz w:val="24"/>
        </w:rPr>
        <w:t xml:space="preserve">征收；否则，按转让收入</w:t>
      </w:r>
      <w:r w:rsidRPr="005B0248">
        <w:rPr>
          <w:sz w:val="24"/>
        </w:rPr>
        <w:t xml:space="preserve">1% </w:t>
      </w:r>
      <w:r w:rsidRPr="005B0248">
        <w:rPr>
          <w:rFonts w:hint="eastAsia"/>
          <w:sz w:val="24"/>
        </w:rPr>
        <w:t xml:space="preserve">核定征收。个人转让自用</w:t>
      </w:r>
      <w:r w:rsidRPr="005B0248">
        <w:rPr>
          <w:sz w:val="24"/>
        </w:rPr>
        <w:t xml:space="preserve">5</w:t>
      </w:r>
      <w:r w:rsidRPr="005B0248">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sidRPr="009A25D8">
        <w:rPr>
          <w:rFonts w:eastAsia="黑体"/>
          <w:sz w:val="24"/>
        </w:rPr>
        <w:t xml:space="preserve">5</w:t>
      </w:r>
      <w:r w:rsidRPr="009A25D8">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绿苑住宅2024年4月挂牌均价20860元/平方米，较年初持平。待评估二手房住宅近12个月（2023年05月-2024年04月）挂牌均价波动幅度较小，价格维持在20860-22381元/平方米之间。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0"/>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7"/>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苏州市吴江区绿苑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F32050920230019744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s202310060037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s202311140025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s202312070167</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吴江区松陵镇绿苑8幢102室叠加住宅标准房基准价格评估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盛世花苑2幢103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水城名邸4幢901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绿苑6幢703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锦绣豪门花园12幢206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147.67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223.54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143.39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146.2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226.18</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9-10/18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7-8/19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2-3/6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2024年04月17日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2023年05月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12436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11856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13680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13264</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2024年03月17日</w:t>
            </w:r>
          </w:p>
        </w:tc>
        <w:tc>
          <w:tcPr>
            <w:tcW w:w="778" w:type="pct"/>
            <w:shd w:val="clear" w:color="auto" w:fill="FFFFFF"/>
            <w:vAlign w:val="center"/>
          </w:tcPr>
          <w:p>
            <w:pPr>
              <w:jc w:val="center"/>
              <w:rPr/>
            </w:pPr>
            <w:r>
              <w:rPr>
                <w:rFonts w:hint="eastAsia" w:ascii="宋体" w:hAnsi="宋体" w:cs="宋体"/>
              </w:rPr>
              <w:t xml:space="preserve">2023年05月</w:t>
            </w:r>
          </w:p>
        </w:tc>
        <w:tc>
          <w:tcPr>
            <w:tcW w:w="779" w:type="pct"/>
            <w:shd w:val="clear" w:color="auto" w:fill="FFFFFF"/>
            <w:vAlign w:val="center"/>
          </w:tcPr>
          <w:p>
            <w:pPr>
              <w:jc w:val="center"/>
              <w:rPr/>
            </w:pPr>
            <w:r>
              <w:rPr>
                <w:rFonts w:hint="eastAsia" w:ascii="宋体" w:hAnsi="宋体" w:cs="宋体"/>
              </w:rPr>
              <w:t xml:space="preserve">2023年11月</w:t>
            </w:r>
          </w:p>
        </w:tc>
        <w:tc>
          <w:tcPr>
            <w:tcW w:w="779" w:type="pct"/>
            <w:shd w:val="clear" w:color="auto" w:fill="FFFFFF"/>
            <w:vAlign w:val="center"/>
          </w:tcPr>
          <w:p>
            <w:pPr>
              <w:jc w:val="center"/>
              <w:rPr/>
            </w:pPr>
            <w:r>
              <w:rPr>
                <w:rFonts w:hint="eastAsia" w:ascii="宋体" w:hAnsi="宋体" w:cs="宋体"/>
              </w:rPr>
              <w:t xml:space="preserve">2023年12月</w:t>
            </w:r>
          </w:p>
        </w:tc>
        <w:tc>
          <w:tcPr>
            <w:tcW w:w="779" w:type="pct"/>
            <w:shd w:val="clear" w:color="auto" w:fill="FFFFFF"/>
            <w:vAlign w:val="center"/>
          </w:tcPr>
          <w:p>
            <w:pPr>
              <w:jc w:val="center"/>
              <w:rPr/>
            </w:pPr>
            <w:r>
              <w:rPr>
                <w:rFonts w:hint="eastAsia" w:ascii="宋体" w:hAnsi="宋体" w:cs="宋体"/>
              </w:rPr>
              <w:t xml:space="preserve">2023年09月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12436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11856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13680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13264</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1971</w:t>
            </w:r>
          </w:p>
        </w:tc>
        <w:tc>
          <w:tcPr>
            <w:tcW w:w="778" w:type="pct"/>
            <w:shd w:val="clear" w:color="auto" w:fill="FFFFFF"/>
            <w:vAlign w:val="center"/>
          </w:tcPr>
          <w:p>
            <w:pPr>
              <w:jc w:val="center"/>
              <w:rPr/>
            </w:pPr>
            <w:r>
              <w:rPr>
                <w:rFonts w:hint="eastAsia" w:ascii="宋体" w:hAnsi="宋体" w:cs="宋体"/>
              </w:rPr>
              <w:t xml:space="preserve">2040</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2048</w:t>
            </w:r>
          </w:p>
        </w:tc>
        <w:tc>
          <w:tcPr>
            <w:tcW w:w="779" w:type="pct"/>
            <w:shd w:val="clear" w:color="auto" w:fill="FFFFFF"/>
            <w:vAlign w:val="center"/>
          </w:tcPr>
          <w:p>
            <w:pPr>
              <w:jc w:val="center"/>
              <w:rPr/>
            </w:pPr>
            <w:r>
              <w:rPr>
                <w:rFonts w:hint="eastAsia" w:ascii="宋体" w:hAnsi="宋体" w:cs="宋体"/>
              </w:rPr>
              <w:t xml:space="preserve">2046</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0.966</w:t>
            </w:r>
          </w:p>
        </w:tc>
        <w:tc>
          <w:tcPr>
            <w:tcW w:w="779"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0.962</w:t>
            </w:r>
          </w:p>
        </w:tc>
        <w:tc>
          <w:tcPr>
            <w:tcW w:w="779" w:type="pct"/>
            <w:shd w:val="clear" w:color="auto" w:fill="FFFFFF"/>
            <w:vAlign w:val="center"/>
          </w:tcPr>
          <w:p>
            <w:pPr>
              <w:jc w:val="center"/>
              <w:rPr/>
            </w:pPr>
            <w:r>
              <w:rPr>
                <w:rFonts w:hint="eastAsia" w:ascii="宋体" w:hAnsi="宋体" w:cs="宋体"/>
              </w:rPr>
              <w:t xml:space="preserve">0.963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备注：在价值时点2024年04月17日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2325668" w:id="21"/>
      <w:bookmarkStart w:name="_Toc35159683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1"/>
            <o:lock v:ext="edit" aspectratio="t"/>
          </v:shape>
          <o:OLEObject Type="Embed" ProgID="Equation.3" ShapeID="_x0000_i0003" DrawAspect="Content" ObjectID="_1817663421" r:id="rId12"/>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吴江区松陵镇绿苑8幢102室叠加住宅标准房基准价格评估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盛世花苑2幢103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水城名邸4幢901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绿苑6幢703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锦绣豪门花园12幢206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147.67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223.54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143.39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146.2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226.18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107.99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107.96</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1.0104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0.9682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12436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11856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13680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13264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11957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11477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12860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12842</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12436</w:t>
            </w:r>
          </w:p>
        </w:tc>
        <w:tc>
          <w:tcPr>
            <w:tcW w:w="922" w:type="pct"/>
            <w:shd w:val="clear" w:color="auto" w:fill="auto"/>
            <w:vAlign w:val="center"/>
          </w:tcPr>
          <w:p>
            <w:pPr>
              <w:jc w:val="center"/>
              <w:rPr>
                <w:rFonts w:ascii="宋体" w:hAnsi="宋体" w:cs="宋体"/>
              </w:rPr>
            </w:pPr>
            <w:r>
              <w:rPr>
                <w:rFonts w:hint="eastAsia" w:ascii="宋体" w:hAnsi="宋体" w:cs="宋体"/>
              </w:rPr>
              <w:t xml:space="preserve">11856</w:t>
            </w:r>
          </w:p>
        </w:tc>
        <w:tc>
          <w:tcPr>
            <w:tcW w:w="922" w:type="pct"/>
            <w:shd w:val="clear" w:color="auto" w:fill="auto"/>
            <w:vAlign w:val="center"/>
          </w:tcPr>
          <w:p>
            <w:pPr>
              <w:jc w:val="center"/>
              <w:rPr>
                <w:rFonts w:ascii="宋体" w:hAnsi="宋体" w:cs="宋体"/>
              </w:rPr>
            </w:pPr>
            <w:r>
              <w:rPr>
                <w:rFonts w:hint="eastAsia" w:ascii="宋体" w:hAnsi="宋体" w:cs="宋体"/>
              </w:rPr>
              <w:t xml:space="preserve">13680</w:t>
            </w:r>
          </w:p>
        </w:tc>
        <w:tc>
          <w:tcPr>
            <w:tcW w:w="922" w:type="pct"/>
            <w:shd w:val="clear" w:color="auto" w:fill="auto"/>
            <w:vAlign w:val="center"/>
          </w:tcPr>
          <w:p>
            <w:pPr>
              <w:jc w:val="center"/>
              <w:rPr>
                <w:rFonts w:ascii="宋体" w:hAnsi="宋体" w:cs="宋体"/>
              </w:rPr>
            </w:pPr>
            <w:r>
              <w:rPr>
                <w:rFonts w:hint="eastAsia" w:ascii="宋体" w:hAnsi="宋体" w:cs="宋体"/>
              </w:rPr>
              <w:t xml:space="preserve">13264</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0.966</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0.962</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109.08/109.06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109.08/107.99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109.08/109.08</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109.08/107.96</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102.5/103</w:t>
            </w:r>
          </w:p>
        </w:tc>
        <w:tc>
          <w:tcPr>
            <w:tcW w:w="922" w:type="pct"/>
            <w:shd w:val="clear" w:color="auto" w:fill="auto"/>
            <w:vAlign w:val="center"/>
          </w:tcPr>
          <w:p>
            <w:pPr>
              <w:jc w:val="center"/>
              <w:rPr>
                <w:rFonts w:ascii="宋体" w:hAnsi="宋体" w:cs="宋体"/>
              </w:rPr>
            </w:pPr>
            <w:r>
              <w:rPr>
                <w:rFonts w:hint="eastAsia" w:ascii="宋体" w:hAnsi="宋体" w:cs="宋体"/>
              </w:rPr>
              <w:t xml:space="preserve">102.5/103</w:t>
            </w:r>
          </w:p>
        </w:tc>
        <w:tc>
          <w:tcPr>
            <w:tcW w:w="922" w:type="pct"/>
            <w:shd w:val="clear" w:color="auto" w:fill="auto"/>
            <w:vAlign w:val="center"/>
          </w:tcPr>
          <w:p>
            <w:pPr>
              <w:jc w:val="center"/>
              <w:rPr>
                <w:rFonts w:ascii="宋体" w:hAnsi="宋体" w:cs="宋体"/>
              </w:rPr>
            </w:pPr>
            <w:r>
              <w:rPr>
                <w:rFonts w:hint="eastAsia" w:ascii="宋体" w:hAnsi="宋体" w:cs="宋体"/>
              </w:rPr>
              <w:t xml:space="preserve">102.5/102.5</w:t>
            </w:r>
          </w:p>
        </w:tc>
        <w:tc>
          <w:tcPr>
            <w:tcW w:w="922" w:type="pct"/>
            <w:shd w:val="clear" w:color="auto" w:fill="auto"/>
            <w:vAlign w:val="center"/>
          </w:tcPr>
          <w:p>
            <w:pPr>
              <w:jc w:val="center"/>
              <w:rPr>
                <w:rFonts w:ascii="宋体" w:hAnsi="宋体" w:cs="宋体"/>
              </w:rPr>
            </w:pPr>
            <w:r>
              <w:rPr>
                <w:rFonts w:hint="eastAsia" w:ascii="宋体" w:hAnsi="宋体" w:cs="宋体"/>
              </w:rPr>
              <w:t xml:space="preserve">102.5/103</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0.9615</w:t>
            </w:r>
          </w:p>
        </w:tc>
        <w:tc>
          <w:tcPr>
            <w:tcW w:w="922" w:type="pct"/>
            <w:shd w:val="clear" w:color="auto" w:fill="auto"/>
            <w:vAlign w:val="center"/>
          </w:tcPr>
          <w:p>
            <w:pPr>
              <w:jc w:val="center"/>
              <w:rPr>
                <w:rFonts w:ascii="宋体" w:hAnsi="宋体" w:cs="宋体"/>
              </w:rPr>
            </w:pPr>
            <w:r>
              <w:rPr>
                <w:rFonts w:hint="eastAsia" w:ascii="宋体" w:hAnsi="宋体" w:cs="宋体"/>
              </w:rPr>
              <w:t xml:space="preserve">0.968</w:t>
            </w:r>
          </w:p>
        </w:tc>
        <w:tc>
          <w:tcPr>
            <w:tcW w:w="922" w:type="pct"/>
            <w:shd w:val="clear" w:color="auto" w:fill="auto"/>
            <w:vAlign w:val="center"/>
          </w:tcPr>
          <w:p>
            <w:pPr>
              <w:jc w:val="center"/>
              <w:rPr>
                <w:rFonts w:ascii="宋体" w:hAnsi="宋体" w:cs="宋体"/>
              </w:rPr>
            </w:pPr>
            <w:r>
              <w:rPr>
                <w:rFonts w:hint="eastAsia" w:ascii="宋体" w:hAnsi="宋体" w:cs="宋体"/>
              </w:rPr>
              <w:t xml:space="preserve">0.962</w:t>
            </w:r>
          </w:p>
        </w:tc>
        <w:tc>
          <w:tcPr>
            <w:tcW w:w="922" w:type="pct"/>
            <w:shd w:val="clear" w:color="auto" w:fill="auto"/>
            <w:vAlign w:val="center"/>
          </w:tcPr>
          <w:p>
            <w:pPr>
              <w:jc w:val="center"/>
              <w:rPr>
                <w:rFonts w:ascii="宋体" w:hAnsi="宋体" w:cs="宋体"/>
              </w:rPr>
            </w:pPr>
            <w:r>
              <w:rPr>
                <w:rFonts w:hint="eastAsia" w:ascii="宋体" w:hAnsi="宋体" w:cs="宋体"/>
              </w:rPr>
              <w:t xml:space="preserve">0.9682</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11957</w:t>
            </w:r>
          </w:p>
        </w:tc>
        <w:tc>
          <w:tcPr>
            <w:tcW w:w="922" w:type="pct"/>
            <w:shd w:val="clear" w:color="auto" w:fill="auto"/>
            <w:vAlign w:val="center"/>
          </w:tcPr>
          <w:p>
            <w:pPr>
              <w:jc w:val="center"/>
              <w:rPr>
                <w:rFonts w:ascii="宋体" w:hAnsi="宋体" w:cs="宋体"/>
              </w:rPr>
            </w:pPr>
            <w:r>
              <w:rPr>
                <w:rFonts w:hint="eastAsia" w:ascii="宋体" w:hAnsi="宋体" w:cs="宋体"/>
              </w:rPr>
              <w:t xml:space="preserve">11477</w:t>
            </w:r>
          </w:p>
        </w:tc>
        <w:tc>
          <w:tcPr>
            <w:tcW w:w="922" w:type="pct"/>
            <w:shd w:val="clear" w:color="auto" w:fill="auto"/>
            <w:vAlign w:val="center"/>
          </w:tcPr>
          <w:p>
            <w:pPr>
              <w:jc w:val="center"/>
              <w:rPr>
                <w:rFonts w:ascii="宋体" w:hAnsi="宋体" w:cs="宋体"/>
              </w:rPr>
            </w:pPr>
            <w:r>
              <w:rPr>
                <w:rFonts w:hint="eastAsia" w:ascii="宋体" w:hAnsi="宋体" w:cs="宋体"/>
              </w:rPr>
              <w:t xml:space="preserve">13160</w:t>
            </w:r>
          </w:p>
        </w:tc>
        <w:tc>
          <w:tcPr>
            <w:tcW w:w="922" w:type="pct"/>
            <w:shd w:val="clear" w:color="auto" w:fill="auto"/>
            <w:vAlign w:val="center"/>
          </w:tcPr>
          <w:p>
            <w:pPr>
              <w:jc w:val="center"/>
              <w:rPr>
                <w:rFonts w:ascii="宋体" w:hAnsi="宋体" w:cs="宋体"/>
              </w:rPr>
            </w:pPr>
            <w:r>
              <w:rPr>
                <w:rFonts w:hint="eastAsia" w:ascii="宋体" w:hAnsi="宋体" w:cs="宋体"/>
              </w:rPr>
              <w:t xml:space="preserve">12842</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11957</w:t>
            </w:r>
          </w:p>
        </w:tc>
        <w:tc>
          <w:tcPr>
            <w:tcW w:w="922" w:type="pct"/>
            <w:shd w:val="clear" w:color="auto" w:fill="auto"/>
            <w:vAlign w:val="center"/>
          </w:tcPr>
          <w:p>
            <w:pPr>
              <w:jc w:val="center"/>
              <w:rPr>
                <w:rFonts w:ascii="宋体" w:hAnsi="宋体" w:cs="宋体"/>
              </w:rPr>
            </w:pPr>
            <w:r>
              <w:rPr>
                <w:rFonts w:hint="eastAsia" w:ascii="宋体" w:hAnsi="宋体" w:cs="宋体"/>
              </w:rPr>
              <w:t xml:space="preserve">11477</w:t>
            </w:r>
          </w:p>
        </w:tc>
        <w:tc>
          <w:tcPr>
            <w:tcW w:w="922" w:type="pct"/>
            <w:shd w:val="clear" w:color="auto" w:fill="auto"/>
            <w:vAlign w:val="center"/>
          </w:tcPr>
          <w:p>
            <w:pPr>
              <w:jc w:val="center"/>
              <w:rPr>
                <w:rFonts w:ascii="宋体" w:hAnsi="宋体" w:cs="宋体"/>
              </w:rPr>
            </w:pPr>
            <w:r>
              <w:rPr>
                <w:rFonts w:hint="eastAsia" w:ascii="宋体" w:hAnsi="宋体" w:cs="宋体"/>
              </w:rPr>
              <w:t xml:space="preserve">12860</w:t>
            </w:r>
          </w:p>
        </w:tc>
        <w:tc>
          <w:tcPr>
            <w:tcW w:w="922" w:type="pct"/>
            <w:shd w:val="clear" w:color="auto" w:fill="auto"/>
            <w:vAlign w:val="center"/>
          </w:tcPr>
          <w:p>
            <w:pPr>
              <w:jc w:val="center"/>
              <w:rPr>
                <w:rFonts w:ascii="宋体" w:hAnsi="宋体" w:cs="宋体"/>
              </w:rPr>
            </w:pPr>
            <w:r>
              <w:rPr>
                <w:rFonts w:hint="eastAsia" w:ascii="宋体" w:hAnsi="宋体" w:cs="宋体"/>
              </w:rPr>
              <w:t xml:space="preserve">12842</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12284</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F32050920230019744</w:t>
            </w:r>
          </w:p>
        </w:tc>
        <w:tc>
          <w:tcPr>
            <w:tcW w:w="1842" w:type="dxa"/>
            <w:vAlign w:val="center"/>
          </w:tcPr>
          <w:p>
            <w:pPr>
              <w:jc w:val="center"/>
              <w:rPr/>
            </w:pPr>
            <w:r>
              <w:rPr>
                <w:rFonts w:hint="eastAsia" w:ascii="宋体" w:hAnsi="宋体" w:cs="宋体"/>
              </w:rPr>
              <w:t xml:space="preserve">s202310060037</w:t>
            </w:r>
          </w:p>
        </w:tc>
        <w:tc>
          <w:tcPr>
            <w:tcW w:w="1843" w:type="dxa"/>
            <w:vAlign w:val="center"/>
          </w:tcPr>
          <w:p>
            <w:pPr>
              <w:jc w:val="center"/>
              <w:rPr/>
            </w:pPr>
            <w:r>
              <w:rPr>
                <w:rFonts w:hint="eastAsia" w:ascii="宋体" w:hAnsi="宋体" w:cs="宋体"/>
              </w:rPr>
              <w:t xml:space="preserve">s202311140025</w:t>
            </w:r>
          </w:p>
        </w:tc>
        <w:tc>
          <w:tcPr>
            <w:tcW w:w="1985" w:type="dxa"/>
            <w:vAlign w:val="center"/>
          </w:tcPr>
          <w:p>
            <w:pPr>
              <w:jc w:val="center"/>
              <w:rPr/>
            </w:pPr>
            <w:r>
              <w:rPr>
                <w:rFonts w:hint="eastAsia" w:ascii="宋体" w:hAnsi="宋体" w:cs="宋体"/>
              </w:rPr>
              <w:t xml:space="preserve">s202312070167</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盛世花苑2幢103</w:t>
            </w:r>
          </w:p>
        </w:tc>
        <w:tc>
          <w:tcPr>
            <w:tcW w:w="1842" w:type="dxa"/>
            <w:vAlign w:val="center"/>
          </w:tcPr>
          <w:p>
            <w:pPr>
              <w:jc w:val="center"/>
              <w:rPr/>
            </w:pPr>
            <w:r>
              <w:rPr>
                <w:rFonts w:hint="eastAsia" w:ascii="宋体" w:hAnsi="宋体" w:cs="宋体"/>
              </w:rPr>
              <w:t xml:space="preserve">水城名邸4幢901</w:t>
            </w:r>
          </w:p>
        </w:tc>
        <w:tc>
          <w:tcPr>
            <w:tcW w:w="1843" w:type="dxa"/>
            <w:vAlign w:val="center"/>
          </w:tcPr>
          <w:p>
            <w:pPr>
              <w:jc w:val="center"/>
              <w:rPr/>
            </w:pPr>
            <w:r>
              <w:rPr>
                <w:rFonts w:hint="eastAsia" w:ascii="宋体" w:hAnsi="宋体" w:cs="宋体"/>
              </w:rPr>
              <w:t xml:space="preserve">绿苑6幢703</w:t>
            </w:r>
          </w:p>
        </w:tc>
        <w:tc>
          <w:tcPr>
            <w:tcW w:w="1985" w:type="dxa"/>
            <w:vAlign w:val="center"/>
          </w:tcPr>
          <w:p>
            <w:pPr>
              <w:jc w:val="center"/>
              <w:rPr/>
            </w:pPr>
            <w:r>
              <w:rPr>
                <w:rFonts w:hint="eastAsia" w:ascii="宋体" w:hAnsi="宋体" w:cs="宋体"/>
              </w:rPr>
              <w:t xml:space="preserve">锦绣豪门花园12幢206</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盛世花苑2幢103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水城名邸4幢901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5"/>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绿苑6幢703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7"/>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锦绣豪门花园12幢206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9"/>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2"/>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3"/>
                </v:shape>
              </w:pict>
            </w:r>
          </w:p>
        </w:tc>
      </w:tr>
    </w:tbl>
    <w:p>
      <w:pPr>
        <w:spacing w:line="360" w:lineRule="auto"/>
        <w:jc w:val="both"/>
        <w:rPr>
          <w:rFonts w:ascii="仿宋_GB2312" w:hAnsi="华文仿宋" w:eastAsia="仿宋_GB2312"/>
          <w:bCs/>
          <w:sz w:val="28"/>
          <w:szCs w:val="28"/>
        </w:rPr>
      </w:pPr>
    </w:p>
    <w:sectPr>
      <w:footerReference w:type="default" r:id="rId24"/>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wmf" /><Relationship Id="rId12" Type="http://schemas.openxmlformats.org/officeDocument/2006/relationships/oleObject" Target="embeddings/oleObject1.bin" /><Relationship Id="rId13" Type="http://schemas.openxmlformats.org/officeDocument/2006/relationships/image" Target="media/image9.jpeg"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pn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footer" Target="footer2.xml" /><Relationship Id="rId25" Type="http://schemas.openxmlformats.org/officeDocument/2006/relationships/theme" Target="theme/theme1.xml" /><Relationship Id="rId26" Type="http://schemas.openxmlformats.org/officeDocument/2006/relationships/styles" Target="styles.xml" /><Relationship Id="rId27" Type="http://schemas.openxmlformats.org/officeDocument/2006/relationships/webSettings" Target="webSettings.xml" /><Relationship Id="rId28" Type="http://schemas.openxmlformats.org/officeDocument/2006/relationships/numbering" Target="numbering.xml" /><Relationship Id="rId29" Type="http://schemas.openxmlformats.org/officeDocument/2006/relationships/fontTable" Target="fontTable.xml" /><Relationship Id="rId3" Type="http://schemas.openxmlformats.org/officeDocument/2006/relationships/footer" Target="footer1.xml" /><Relationship Id="rId30"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34</Pages>
  <Words>3328</Words>
  <Characters>18970</Characters>
  <Application>Microsoft Office Word</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2</cp:revision>
  <cp:lastPrinted>2020-03-31T10:20:00Z</cp:lastPrinted>
  <dcterms:created xsi:type="dcterms:W3CDTF">2023-05-06T09:44:00Z</dcterms:created>
  <dcterms:modified xsi:type="dcterms:W3CDTF">2024-03-07T05:42:00Z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