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苏吴地评税字(2024)吴江第00326号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金鹤绿岛普通多层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估价对象位于苏州市吴江区区域范围内的金鹤绿岛住宅小区普通多层存量房。该小区内的物业类型包括：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月修订版），结合估价人员现场查勘，选取金鹤绿岛</w:t>
      </w:r>
      <w:r>
        <w:rPr>
          <w:rFonts w:ascii="宋体"/>
          <w:sz w:val="24"/>
        </w:rPr>
        <w:t xml:space="preserve">7幢103室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129.16</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2074年06月13日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柒仟壹佰陆拾肆元整</w:t>
      </w:r>
      <w:r>
        <w:rPr>
          <w:rFonts w:hint="eastAsia" w:ascii="宋体" w:hAnsi="宋体"/>
          <w:b/>
          <w:bCs/>
          <w:sz w:val="24"/>
        </w:rPr>
        <w:t xml:space="preserve">（RMB</w:t>
      </w:r>
      <w:r>
        <w:rPr>
          <w:rFonts w:ascii="宋体" w:hAnsi="宋体"/>
          <w:b/>
          <w:bCs/>
          <w:sz w:val="24"/>
        </w:rPr>
        <w:t xml:space="preserve"> 7164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2024年04月29日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2024年04月29日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5.本报告作为整体使用时有效。若房地产市场无重大波动，本估价报告自出具日起一年内有效，从2024年04月29日至</w:t>
      </w:r>
      <w:r>
        <w:rPr>
          <w:rFonts w:ascii="宋体" w:hAnsi="宋体"/>
          <w:sz w:val="24"/>
        </w:rPr>
        <w:t xml:space="preserve">2025年04月28日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金鹤绿岛</w:t>
      </w:r>
      <w:r>
        <w:rPr>
          <w:rFonts w:ascii="宋体" w:hAnsi="宋体"/>
          <w:sz w:val="24"/>
        </w:rPr>
        <w:t xml:space="preserve">7幢103室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河流西侧</w:t>
      </w:r>
      <w:r>
        <w:rPr>
          <w:rFonts w:hint="eastAsia" w:hAnsi="宋体"/>
          <w:sz w:val="24"/>
        </w:rPr>
        <w:t xml:space="preserve">的“</w:t>
      </w:r>
      <w:r>
        <w:rPr>
          <w:rFonts w:hint="eastAsia" w:hAnsi="宋体"/>
          <w:sz w:val="24"/>
        </w:rPr>
        <w:t xml:space="preserve">金鹤绿岛</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河流</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厍北路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达胜公寓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湖泊</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129.16</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河流西侧</w:t>
      </w:r>
      <w:r>
        <w:rPr>
          <w:rFonts w:hint="eastAsia" w:hAnsi="宋体"/>
          <w:sz w:val="24"/>
        </w:rPr>
        <w:t xml:space="preserve">的“金鹤绿岛”住宅区内。该小区内的物业类型包括：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金鹤绿岛</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金鹤绿岛</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由于金鹤绿岛幢数较少且大多为别墅，市场交易不活跃，片区内可选案例较少，因此选择的案例A，B，C，D，距离在3公里以外。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金鹤绿岛住宅2024年4月挂牌均价12400元/平方米，较年初持平。待评估二手房住宅近9个月（2023年08月-2024年04月）挂牌均价波动幅度较小，价格维持在12400-15604元/平方米之间。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均价说明：金鹤绿岛小区物业类型包括：普通多层,房源均价为:12400元/平方米，包含毛坯价值以及附带装修价值。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129.16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2074年06月13日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柒仟壹佰陆拾肆元整</w:t>
      </w:r>
      <w:r>
        <w:rPr>
          <w:rFonts w:hint="eastAsia" w:ascii="宋体" w:hAnsi="宋体"/>
          <w:b/>
          <w:bCs/>
          <w:sz w:val="24"/>
        </w:rPr>
        <w:t xml:space="preserve">（RMB </w:t>
      </w:r>
      <w:r>
        <w:rPr>
          <w:rFonts w:ascii="宋体" w:hAnsi="宋体"/>
          <w:b/>
          <w:bCs/>
          <w:sz w:val="24"/>
        </w:rPr>
        <w:t xml:space="preserve">7164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92.54</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7164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2024年04月29日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至2024年04月29日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金鹤绿岛</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位于厍北路北侧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厍北路北侧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附近有795路、7321路、7335路等多条公交线路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大润发(no.288店)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北厍集贸中心</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北厍中心幼儿园</w:t>
      </w:r>
      <w:r>
        <w:rPr>
          <w:rFonts w:hint="eastAsia" w:ascii="宋体" w:hAnsi="宋体" w:eastAsia="宋体" w:asciiTheme="minorEastAsia" w:hAnsiTheme="minorEastAsia" w:eastAsiaTheme="minorEastAsia"/>
          <w:sz w:val="24"/>
        </w:rPr>
        <w:t xml:space="preserve">、</w:t>
      </w:r>
      <w:r>
        <w:rPr>
          <w:rFonts w:hAnsi="宋体"/>
          <w:sz w:val="24"/>
        </w:rPr>
        <w:t xml:space="preserve">北厍小学</w:t>
      </w:r>
      <w:r>
        <w:rPr>
          <w:rFonts w:hint="eastAsia" w:hAnsi="宋体"/>
          <w:sz w:val="24"/>
        </w:rPr>
        <w:t xml:space="preserve">、</w:t>
      </w:r>
      <w:r>
        <w:rPr>
          <w:rFonts w:hAnsi="宋体"/>
          <w:sz w:val="24"/>
        </w:rPr>
        <w:t xml:space="preserve">北厍中学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2074年06月13日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河流</w:t>
      </w:r>
      <w:r>
        <w:rPr>
          <w:rFonts w:hint="eastAsia" w:ascii="宋体" w:hAnsi="宋体"/>
          <w:sz w:val="24"/>
        </w:rPr>
        <w:t xml:space="preserve">，南至</w:t>
      </w:r>
      <w:r>
        <w:rPr>
          <w:rFonts w:ascii="宋体" w:hAnsi="宋体"/>
          <w:sz w:val="24"/>
        </w:rPr>
        <w:t xml:space="preserve">厍北路</w:t>
      </w:r>
      <w:r>
        <w:rPr>
          <w:rFonts w:hint="eastAsia" w:ascii="宋体" w:hAnsi="宋体"/>
          <w:sz w:val="24"/>
        </w:rPr>
        <w:t xml:space="preserve">，西至</w:t>
      </w:r>
      <w:r>
        <w:rPr>
          <w:rFonts w:ascii="宋体" w:hAnsi="宋体"/>
          <w:sz w:val="24"/>
        </w:rPr>
        <w:t xml:space="preserve">达胜公寓</w:t>
      </w:r>
      <w:r>
        <w:rPr>
          <w:rFonts w:hint="eastAsia" w:ascii="宋体" w:hAnsi="宋体"/>
          <w:sz w:val="24"/>
        </w:rPr>
        <w:t xml:space="preserve">，北至</w:t>
      </w:r>
      <w:r>
        <w:rPr>
          <w:rFonts w:ascii="宋体" w:hAnsi="宋体"/>
          <w:sz w:val="24"/>
        </w:rPr>
        <w:t xml:space="preserve">湖泊</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估价对象为坐落于苏州市吴江区金鹤绿岛</w:t>
      </w:r>
      <w:r>
        <w:t xml:space="preserve"> </w:t>
      </w:r>
      <w:r>
        <w:rPr>
          <w:rFonts w:ascii="宋体" w:hAnsi="宋体"/>
          <w:kern w:val="2"/>
          <w:sz w:val="24"/>
        </w:rPr>
        <w:t xml:space="preserve">7幢103室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129.16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2009</w:t>
      </w:r>
      <w:r>
        <w:rPr>
          <w:rFonts w:hint="eastAsia" w:hAnsi="宋体"/>
          <w:sz w:val="24"/>
        </w:rPr>
        <w:t xml:space="preserve">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金鹤绿岛住宅2024年4月挂牌均价12400元/平方米，较年初持平。待评估二手房住宅近9个月（2023年08月-2024年04月）挂牌均价波动幅度较小，价格维持在12400-15604元/平方米之间。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苏州市吴江区金鹤绿岛</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s202311140006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F32050920230033392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s202311070086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s202310170167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吴江区黎里镇金鹤绿岛7幢103室普通多层住宅标准房基准价格评估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望湖南区10幢402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桃苑新村2区15幢101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港龙大厦2幢501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华生新村4幢109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54.71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7343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7311</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2023年08月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7343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7587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7208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7311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317948407"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吴江区黎里镇金鹤绿岛7幢103室普通多层住宅标准房基准价格评估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望湖南区10幢402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桃苑新村2区15幢101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港龙大厦2幢501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华生新村4幢109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129.16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54.71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97.97</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7204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7343</w:t>
            </w:r>
          </w:p>
        </w:tc>
        <w:tc>
          <w:tcPr>
            <w:tcW w:w="922" w:type="pct"/>
            <w:shd w:val="clear" w:color="auto" w:fill="auto"/>
            <w:vAlign w:val="center"/>
          </w:tcPr>
          <w:p>
            <w:pPr>
              <w:jc w:val="center"/>
              <w:rPr>
                <w:rFonts w:ascii="宋体" w:hAnsi="宋体" w:cs="宋体"/>
              </w:rPr>
            </w:pPr>
            <w:r>
              <w:rPr>
                <w:rFonts w:hint="eastAsia" w:ascii="宋体" w:hAnsi="宋体" w:cs="宋体"/>
              </w:rPr>
              <w:t xml:space="preserve">7587</w:t>
            </w:r>
          </w:p>
        </w:tc>
        <w:tc>
          <w:tcPr>
            <w:tcW w:w="922" w:type="pct"/>
            <w:shd w:val="clear" w:color="auto" w:fill="auto"/>
            <w:vAlign w:val="center"/>
          </w:tcPr>
          <w:p>
            <w:pPr>
              <w:jc w:val="center"/>
              <w:rPr>
                <w:rFonts w:ascii="宋体" w:hAnsi="宋体" w:cs="宋体"/>
              </w:rPr>
            </w:pPr>
            <w:r>
              <w:rPr>
                <w:rFonts w:hint="eastAsia" w:ascii="宋体" w:hAnsi="宋体" w:cs="宋体"/>
              </w:rPr>
              <w:t xml:space="preserve">7208</w:t>
            </w:r>
          </w:p>
        </w:tc>
        <w:tc>
          <w:tcPr>
            <w:tcW w:w="922" w:type="pct"/>
            <w:shd w:val="clear" w:color="auto" w:fill="auto"/>
            <w:vAlign w:val="center"/>
          </w:tcPr>
          <w:p>
            <w:pPr>
              <w:jc w:val="center"/>
              <w:rPr>
                <w:rFonts w:ascii="宋体" w:hAnsi="宋体" w:cs="宋体"/>
              </w:rPr>
            </w:pPr>
            <w:r>
              <w:rPr>
                <w:rFonts w:hint="eastAsia" w:ascii="宋体" w:hAnsi="宋体" w:cs="宋体"/>
              </w:rPr>
              <w:t xml:space="preserve">7311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101/97.97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0.9512</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0.9678</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0.9853</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6985</w:t>
            </w:r>
          </w:p>
        </w:tc>
        <w:tc>
          <w:tcPr>
            <w:tcW w:w="922" w:type="pct"/>
            <w:shd w:val="clear" w:color="auto" w:fill="auto"/>
            <w:vAlign w:val="center"/>
          </w:tcPr>
          <w:p>
            <w:pPr>
              <w:jc w:val="center"/>
              <w:rPr>
                <w:rFonts w:ascii="宋体" w:hAnsi="宋体" w:cs="宋体"/>
              </w:rPr>
            </w:pPr>
            <w:r>
              <w:rPr>
                <w:rFonts w:hint="eastAsia" w:ascii="宋体" w:hAnsi="宋体" w:cs="宋体"/>
              </w:rPr>
              <w:t xml:space="preserve">7493</w:t>
            </w:r>
          </w:p>
        </w:tc>
        <w:tc>
          <w:tcPr>
            <w:tcW w:w="922" w:type="pct"/>
            <w:shd w:val="clear" w:color="auto" w:fill="auto"/>
            <w:vAlign w:val="center"/>
          </w:tcPr>
          <w:p>
            <w:pPr>
              <w:jc w:val="center"/>
              <w:rPr>
                <w:rFonts w:ascii="宋体" w:hAnsi="宋体" w:cs="宋体"/>
              </w:rPr>
            </w:pPr>
            <w:r>
              <w:rPr>
                <w:rFonts w:hint="eastAsia" w:ascii="宋体" w:hAnsi="宋体" w:cs="宋体"/>
              </w:rPr>
              <w:t xml:space="preserve">6976</w:t>
            </w:r>
          </w:p>
        </w:tc>
        <w:tc>
          <w:tcPr>
            <w:tcW w:w="922" w:type="pct"/>
            <w:shd w:val="clear" w:color="auto" w:fill="auto"/>
            <w:vAlign w:val="center"/>
          </w:tcPr>
          <w:p>
            <w:pPr>
              <w:jc w:val="center"/>
              <w:rPr>
                <w:rFonts w:ascii="宋体" w:hAnsi="宋体" w:cs="宋体"/>
              </w:rPr>
            </w:pPr>
            <w:r>
              <w:rPr>
                <w:rFonts w:hint="eastAsia" w:ascii="宋体" w:hAnsi="宋体" w:cs="宋体"/>
              </w:rPr>
              <w:t xml:space="preserve">7204</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6985</w:t>
            </w:r>
          </w:p>
        </w:tc>
        <w:tc>
          <w:tcPr>
            <w:tcW w:w="922" w:type="pct"/>
            <w:shd w:val="clear" w:color="auto" w:fill="auto"/>
            <w:vAlign w:val="center"/>
          </w:tcPr>
          <w:p>
            <w:pPr>
              <w:jc w:val="center"/>
              <w:rPr>
                <w:rFonts w:ascii="宋体" w:hAnsi="宋体" w:cs="宋体"/>
              </w:rPr>
            </w:pPr>
            <w:r>
              <w:rPr>
                <w:rFonts w:hint="eastAsia" w:ascii="宋体" w:hAnsi="宋体" w:cs="宋体"/>
              </w:rPr>
              <w:t xml:space="preserve">7493</w:t>
            </w:r>
          </w:p>
        </w:tc>
        <w:tc>
          <w:tcPr>
            <w:tcW w:w="922" w:type="pct"/>
            <w:shd w:val="clear" w:color="auto" w:fill="auto"/>
            <w:vAlign w:val="center"/>
          </w:tcPr>
          <w:p>
            <w:pPr>
              <w:jc w:val="center"/>
              <w:rPr>
                <w:rFonts w:ascii="宋体" w:hAnsi="宋体" w:cs="宋体"/>
              </w:rPr>
            </w:pPr>
            <w:r>
              <w:rPr>
                <w:rFonts w:hint="eastAsia" w:ascii="宋体" w:hAnsi="宋体" w:cs="宋体"/>
              </w:rPr>
              <w:t xml:space="preserve">6976</w:t>
            </w:r>
          </w:p>
        </w:tc>
        <w:tc>
          <w:tcPr>
            <w:tcW w:w="922" w:type="pct"/>
            <w:shd w:val="clear" w:color="auto" w:fill="auto"/>
            <w:vAlign w:val="center"/>
          </w:tcPr>
          <w:p>
            <w:pPr>
              <w:jc w:val="center"/>
              <w:rPr>
                <w:rFonts w:ascii="宋体" w:hAnsi="宋体" w:cs="宋体"/>
              </w:rPr>
            </w:pPr>
            <w:r>
              <w:rPr>
                <w:rFonts w:hint="eastAsia" w:ascii="宋体" w:hAnsi="宋体" w:cs="宋体"/>
              </w:rPr>
              <w:t xml:space="preserve">7204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7164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s202311140006</w:t>
            </w:r>
          </w:p>
        </w:tc>
        <w:tc>
          <w:tcPr>
            <w:tcW w:w="1842" w:type="dxa"/>
            <w:vAlign w:val="center"/>
          </w:tcPr>
          <w:p>
            <w:pPr>
              <w:jc w:val="center"/>
              <w:rPr/>
            </w:pPr>
            <w:r>
              <w:rPr>
                <w:rFonts w:hint="eastAsia" w:ascii="宋体" w:hAnsi="宋体" w:cs="宋体"/>
              </w:rPr>
              <w:t xml:space="preserve">F32050920230033392</w:t>
            </w:r>
          </w:p>
        </w:tc>
        <w:tc>
          <w:tcPr>
            <w:tcW w:w="1843" w:type="dxa"/>
            <w:vAlign w:val="center"/>
          </w:tcPr>
          <w:p>
            <w:pPr>
              <w:jc w:val="center"/>
              <w:rPr/>
            </w:pPr>
            <w:r>
              <w:rPr>
                <w:rFonts w:hint="eastAsia" w:ascii="宋体" w:hAnsi="宋体" w:cs="宋体"/>
              </w:rPr>
              <w:t xml:space="preserve">s202311070086</w:t>
            </w:r>
          </w:p>
        </w:tc>
        <w:tc>
          <w:tcPr>
            <w:tcW w:w="1985" w:type="dxa"/>
            <w:vAlign w:val="center"/>
          </w:tcPr>
          <w:p>
            <w:pPr>
              <w:jc w:val="center"/>
              <w:rPr/>
            </w:pPr>
            <w:r>
              <w:rPr>
                <w:rFonts w:hint="eastAsia" w:ascii="宋体" w:hAnsi="宋体" w:cs="宋体"/>
              </w:rPr>
              <w:t xml:space="preserve">s202310170167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望湖南区10幢402</w:t>
            </w:r>
          </w:p>
        </w:tc>
        <w:tc>
          <w:tcPr>
            <w:tcW w:w="1842" w:type="dxa"/>
            <w:vAlign w:val="center"/>
          </w:tcPr>
          <w:p>
            <w:pPr>
              <w:jc w:val="center"/>
              <w:rPr/>
            </w:pPr>
            <w:r>
              <w:rPr>
                <w:rFonts w:hint="eastAsia" w:ascii="宋体" w:hAnsi="宋体" w:cs="宋体"/>
              </w:rPr>
              <w:t xml:space="preserve">桃苑新村2区15幢101</w:t>
            </w:r>
          </w:p>
        </w:tc>
        <w:tc>
          <w:tcPr>
            <w:tcW w:w="1843" w:type="dxa"/>
            <w:vAlign w:val="center"/>
          </w:tcPr>
          <w:p>
            <w:pPr>
              <w:jc w:val="center"/>
              <w:rPr/>
            </w:pPr>
            <w:r>
              <w:rPr>
                <w:rFonts w:hint="eastAsia" w:ascii="宋体" w:hAnsi="宋体" w:cs="宋体"/>
              </w:rPr>
              <w:t xml:space="preserve">港龙大厦2幢501</w:t>
            </w:r>
          </w:p>
        </w:tc>
        <w:tc>
          <w:tcPr>
            <w:tcW w:w="1985" w:type="dxa"/>
            <w:vAlign w:val="center"/>
          </w:tcPr>
          <w:p>
            <w:pPr>
              <w:jc w:val="center"/>
              <w:rPr/>
            </w:pPr>
            <w:r>
              <w:rPr>
                <w:rFonts w:hint="eastAsia" w:ascii="宋体" w:hAnsi="宋体" w:cs="宋体"/>
              </w:rPr>
              <w:t xml:space="preserve">华生新村4幢109</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望湖南区10幢402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桃苑新村2区15幢101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港龙大厦2幢501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华生新村4幢109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