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cx="http://schemas.microsoft.com/office/drawing/2014/chartex" xmlns:cx1="http://schemas.microsoft.com/office/drawing/2015/9/8/chartex" mc:Ignorable="w14 wp14">
  <!-- Generated by Spire.Doc -->
  <w:body>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苏吴地评税字(2024)吴江第00373号</w:t>
      </w:r>
    </w:p>
    <w:p>
      <w:pPr>
        <w:pStyle w:val="PlainText"/>
        <w:spacing w:line="480" w:lineRule="auto"/>
        <w:ind w:left="2110" w:leftChars="71" w:hanging="1968"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苏州市吴江区黎里镇</w:t>
      </w:r>
      <w:r>
        <w:rPr>
          <w:rFonts w:ascii="宋体" w:hAnsi="宋体" w:eastAsia="宋体" w:asciiTheme="minorEastAsia" w:hAnsiTheme="minorEastAsia" w:eastAsiaTheme="minorEastAsia"/>
          <w:sz w:val="24"/>
          <w:szCs w:val="24"/>
        </w:rPr>
        <w:t xml:space="preserve">胜秀花苑普通多层</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91" w:leftChars="71" w:right="600" w:rightChars="300" w:hanging="2249"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7" w:leftChars="71" w:right="600" w:rightChars="300" w:hanging="1965"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国家注册房地产估价师：佘六梅</w:t>
      </w:r>
      <w:r>
        <w:rPr>
          <w:rFonts w:hint="eastAsia" w:ascii="宋体" w:hAnsi="宋体"/>
          <w:sz w:val="24"/>
          <w:szCs w:val="24"/>
        </w:rPr>
        <w:t xml:space="preserve">、注册证号：</w:t>
      </w:r>
      <w:r>
        <w:rPr>
          <w:rFonts w:ascii="宋体" w:hAnsi="宋体"/>
          <w:sz w:val="24"/>
          <w:szCs w:val="24"/>
        </w:rPr>
        <w:t xml:space="preserve">3220150185</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国家注册房地产估价师：张裕广</w:t>
      </w:r>
      <w:r>
        <w:rPr>
          <w:rFonts w:hint="eastAsia" w:ascii="宋体" w:hAnsi="宋体"/>
          <w:sz w:val="24"/>
          <w:szCs w:val="24"/>
        </w:rPr>
        <w:t xml:space="preserve">、注册证号：</w:t>
      </w:r>
      <w:r>
        <w:rPr>
          <w:rFonts w:ascii="宋体" w:hAnsi="宋体"/>
          <w:sz w:val="24"/>
          <w:szCs w:val="24"/>
        </w:rPr>
        <w:t xml:space="preserve">3220210423</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2024年05月16日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rPr/>
      </w:pPr>
    </w:p>
    <w:p>
      <w:pPr>
        <w:jc w:val="center"/>
        <w:rPr>
          <w:rFonts w:eastAsia="黑体"/>
          <w:b/>
          <w:sz w:val="48"/>
        </w:rPr>
      </w:pPr>
      <w:r>
        <w:br w:type="page"/>
      </w:r>
      <w:r>
        <w:rPr>
          <w:rFonts w:hint="eastAsia" w:eastAsia="黑体"/>
          <w:b/>
          <w:sz w:val="48"/>
        </w:rPr>
        <w:t xml:space="preserve">目</w:t>
      </w:r>
      <w:r>
        <w:rPr>
          <w:rFonts w:hint="eastAsia" w:eastAsia="黑体"/>
          <w:b/>
          <w:sz w:val="48"/>
        </w:rPr>
        <w:t xml:space="preserve">    </w:t>
      </w:r>
      <w:r>
        <w:rPr>
          <w:rFonts w:hint="eastAsia" w:eastAsia="黑体"/>
          <w:b/>
          <w:sz w:val="48"/>
        </w:rPr>
        <w:t xml:space="preserve">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rPr>
          <w:rStyle w:val="Hyperlink"/>
          <w:rFonts w:ascii="宋体" w:hAnsi="宋体" w:eastAsia="宋体" w:asciiTheme="minorEastAsia" w:hAnsiTheme="minorEastAsia" w:eastAsiaTheme="minorEastAsia"/>
          <w:color w:val="auto"/>
          <w:sz w:val="28"/>
          <w:szCs w:val="28"/>
          <w:u w:val="none"/>
        </w:rPr>
        <w:fldChar w:fldCharType="begin"/>
      </w:r>
      <w:r>
        <w:rPr>
          <w:rStyle w:val="Hyperlink"/>
          <w:rFonts w:ascii="宋体" w:hAnsi="宋体" w:eastAsia="宋体" w:asciiTheme="minorEastAsia" w:hAnsiTheme="minorEastAsia" w:eastAsiaTheme="minorEastAsia"/>
          <w:color w:val="auto"/>
          <w:sz w:val="28"/>
          <w:szCs w:val="28"/>
          <w:u w:val="none"/>
        </w:rP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6"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sectPr w:rsidSect="00486FF8">
          <w:footerReference w:type="default" r:id="rId3"/>
          <w:pgSz w:w="11906" w:h="16838" w:orient="portrait"/>
          <w:pgMar w:top="1440" w:right="1800" w:bottom="1440" w:left="1800" w:header="851" w:footer="992" w:gutter="0"/>
          <w:pgNumType w:start="1"/>
          <w:cols w:space="425" w:num="1">
            <w:col w:w="8306" w:space="425"/>
          </w:cols>
          <w:titlePg/>
          <w:docGrid w:type="lines" w:linePitch="312"/>
        </w:sectPr>
      </w:pPr>
      <w:r>
        <w:br w:type="page"/>
      </w:r>
    </w:p>
    <w:p>
      <w:pPr>
        <w:pStyle w:val="Heading1"/>
        <w:jc w:val="center"/>
        <w:rPr>
          <w:rFonts w:eastAsia="黑体"/>
        </w:rPr>
      </w:pPr>
      <w:bookmarkStart w:name="_Toc32222390" w:id="0"/>
      <w:bookmarkStart w:name="_Toc532675902"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估价对象位于苏州市吴江区区域范围内的胜秀花苑住宅小区普通多层存量房。该小区内的物业类型包括：</w:t>
      </w:r>
      <w:r>
        <w:rPr>
          <w:rFonts w:ascii="宋体"/>
          <w:sz w:val="24"/>
        </w:rPr>
        <w:t xml:space="preserve">普通多层、小高层</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月修订版），结合估价人员现场查勘，选取胜秀花苑</w:t>
      </w:r>
      <w:r>
        <w:rPr>
          <w:rFonts w:ascii="宋体"/>
          <w:sz w:val="24"/>
        </w:rPr>
        <w:t xml:space="preserve">5幢103室</w:t>
      </w:r>
      <w:r>
        <w:rPr>
          <w:rFonts w:hint="eastAsia" w:ascii="宋体"/>
          <w:sz w:val="24"/>
        </w:rPr>
        <w:t xml:space="preserve">为该小区</w:t>
      </w:r>
      <w:r>
        <w:rPr>
          <w:rFonts w:ascii="宋体"/>
          <w:sz w:val="24"/>
        </w:rPr>
        <w:t xml:space="preserve">钢混结构</w:t>
      </w:r>
      <w:r>
        <w:rPr>
          <w:rFonts w:hint="eastAsia" w:ascii="宋体"/>
          <w:sz w:val="24"/>
        </w:rPr>
        <w:t xml:space="preserve">普通多层的标准样本房，所在楼层</w:t>
      </w:r>
      <w:r>
        <w:rPr>
          <w:rFonts w:ascii="宋体"/>
          <w:sz w:val="24"/>
        </w:rPr>
        <w:t xml:space="preserve">1</w:t>
      </w:r>
      <w:r>
        <w:rPr>
          <w:rFonts w:hint="eastAsia" w:ascii="宋体"/>
          <w:sz w:val="24"/>
        </w:rPr>
        <w:t xml:space="preserve">层</w:t>
      </w:r>
      <w:r>
        <w:rPr>
          <w:rFonts w:hint="eastAsia" w:ascii="宋体"/>
          <w:sz w:val="24"/>
        </w:rPr>
        <w:t xml:space="preserve">，总层数</w:t>
      </w:r>
      <w:r>
        <w:rPr>
          <w:rFonts w:ascii="宋体"/>
          <w:sz w:val="24"/>
        </w:rPr>
        <w:t xml:space="preserve">6</w:t>
      </w:r>
      <w:r>
        <w:rPr>
          <w:rFonts w:hint="eastAsia" w:ascii="宋体"/>
          <w:sz w:val="24"/>
        </w:rPr>
        <w:t xml:space="preserve">层，建筑面积</w:t>
      </w:r>
      <w:r>
        <w:rPr>
          <w:rFonts w:ascii="宋体"/>
          <w:sz w:val="24"/>
        </w:rPr>
        <w:t xml:space="preserve">98.42</w:t>
      </w:r>
      <w:r>
        <w:rPr>
          <w:rFonts w:hint="eastAsia" w:ascii="宋体"/>
          <w:sz w:val="24"/>
        </w:rPr>
        <w:t xml:space="preserve">平方米，南北朝向，</w:t>
      </w:r>
      <w:r>
        <w:rPr>
          <w:rFonts w:ascii="宋体"/>
          <w:sz w:val="24"/>
        </w:rPr>
        <w:t xml:space="preserve">中间户，钢混结构</w:t>
      </w:r>
      <w:r>
        <w:rPr>
          <w:rFonts w:hint="eastAsia" w:ascii="宋体"/>
          <w:sz w:val="24"/>
        </w:rPr>
        <w:t xml:space="preserve">，设计用途为成套住宅，建成于</w:t>
      </w:r>
      <w:r>
        <w:rPr>
          <w:rFonts w:ascii="宋体"/>
          <w:sz w:val="24"/>
        </w:rPr>
        <w:t xml:space="preserve">2015</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2085年12月14日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2024年04月23日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2024年04月23日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伍仟陆佰陆拾柒元整</w:t>
      </w:r>
      <w:r>
        <w:rPr>
          <w:rFonts w:hint="eastAsia" w:ascii="宋体" w:hAnsi="宋体"/>
          <w:b/>
          <w:bCs/>
          <w:sz w:val="24"/>
        </w:rPr>
        <w:t xml:space="preserve">（RMB</w:t>
      </w:r>
      <w:r>
        <w:rPr>
          <w:rFonts w:ascii="宋体" w:hAnsi="宋体"/>
          <w:b/>
          <w:bCs/>
          <w:sz w:val="24"/>
        </w:rPr>
        <w:t xml:space="preserve"> 5667</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2024年05月16日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noProof/>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4"/>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2024年05月16日</w:t>
      </w:r>
    </w:p>
    <w:p>
      <w:pPr>
        <w:rPr/>
      </w:pPr>
      <w:r>
        <w:rPr>
          <w:noProof/>
        </w:rP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4"/>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32222391" w:id="2"/>
      <w:bookmarkStart w:name="_Toc532675903" w:id="3"/>
      <w:r>
        <w:rPr>
          <w:rFonts w:hint="eastAsia" w:ascii="楷体_GB2312" w:eastAsia="黑体"/>
        </w:rPr>
        <w:t xml:space="preserve">估</w:t>
      </w:r>
      <w:r>
        <w:rPr>
          <w:rFonts w:hint="eastAsia" w:ascii="楷体_GB2312" w:eastAsia="黑体"/>
        </w:rPr>
        <w:t xml:space="preserve"> </w:t>
      </w:r>
      <w:r>
        <w:rPr>
          <w:rFonts w:hint="eastAsia" w:ascii="楷体_GB2312" w:eastAsia="黑体"/>
        </w:rPr>
        <w:t xml:space="preserve">价</w:t>
      </w:r>
      <w:r>
        <w:rPr>
          <w:rFonts w:hint="eastAsia" w:ascii="楷体_GB2312" w:eastAsia="黑体"/>
        </w:rPr>
        <w:t xml:space="preserve"> </w:t>
      </w:r>
      <w:r>
        <w:rPr>
          <w:rFonts w:hint="eastAsia" w:ascii="楷体_GB2312" w:eastAsia="黑体"/>
        </w:rPr>
        <w:t xml:space="preserve">师</w:t>
      </w:r>
      <w:r>
        <w:rPr>
          <w:rFonts w:hint="eastAsia" w:ascii="楷体_GB2312" w:eastAsia="黑体"/>
        </w:rPr>
        <w:t xml:space="preserve"> </w:t>
      </w:r>
      <w:r>
        <w:rPr>
          <w:rFonts w:hint="eastAsia" w:ascii="楷体_GB2312" w:eastAsia="黑体"/>
        </w:rPr>
        <w:t xml:space="preserve">声</w:t>
      </w:r>
      <w:r>
        <w:rPr>
          <w:rFonts w:hint="eastAsia" w:ascii="楷体_GB2312" w:eastAsia="黑体"/>
        </w:rPr>
        <w:t xml:space="preserve"> </w:t>
      </w:r>
      <w:r>
        <w:rPr>
          <w:rFonts w:hint="eastAsia" w:ascii="楷体_GB2312" w:eastAsia="黑体"/>
        </w:rPr>
        <w:t xml:space="preserve">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NormalTable"/>
        <w:tblpPr w:vertAnchor="text" w:tblpX="103" w:tblpY="300"/>
        <w:tblOverlap w:val="never"/>
        <w:tblW w:w="8690" w:type="dxa"/>
        <w:tblLayout w:type="fixed"/>
        <w:tblCellMar>
          <w:left w:w="262" w:type="dxa"/>
          <w:right w:w="115" w:type="dxa"/>
        </w:tblCellMar>
        <w:tblLook w:val="04A0" w:firstRow="1" w:lastRow="0" w:firstColumn="1" w:lastColumn="0" w:noHBand="0" w:noVBand="1"/>
      </w:tblPr>
      <w:tblGrid>
        <w:gridCol w:w="1699"/>
        <w:gridCol w:w="2503"/>
        <w:gridCol w:w="2100"/>
        <w:gridCol w:w="2388"/>
      </w:tblGrid>
      <w:tr>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2024年05月16日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张裕广</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3220210423</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2024年05月16日</w:t>
            </w:r>
          </w:p>
        </w:tc>
      </w:tr>
    </w:tbl>
    <w:p>
      <w:pPr>
        <w:pStyle w:val="Heading1"/>
        <w:jc w:val="center"/>
        <w:rPr>
          <w:rFonts w:eastAsia="黑体"/>
          <w:bCs w:val="0"/>
        </w:rPr>
      </w:pPr>
      <w:bookmarkStart w:name="_Toc32222392" w:id="4"/>
      <w:bookmarkStart w:name="_Toc532675904"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clear" w:pos="1358"/>
          <w:tab w:val="left" w:pos="900"/>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w:instrText>
      </w:r>
      <w:r>
        <w:rPr>
          <w:rFonts w:hint="eastAsia" w:ascii="宋体"/>
          <w:sz w:val="24"/>
        </w:rPr>
        <w:instrText xml:space="preserve">= 2 \* GB3</w:instrText>
      </w:r>
      <w:r>
        <w:rPr>
          <w:rFonts w:ascii="宋体"/>
          <w:sz w:val="24"/>
        </w:rPr>
        <w:instrText xml:space="preserve">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clear" w:pos="1857"/>
          <w:tab w:val="left" w:pos="900"/>
          <w:tab w:val="left" w:pos="1600"/>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clear" w:pos="1857"/>
          <w:tab w:val="left" w:pos="900"/>
          <w:tab w:val="left" w:pos="1600"/>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clear" w:pos="1857"/>
          <w:tab w:val="left" w:pos="900"/>
          <w:tab w:val="left" w:pos="1600"/>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clear" w:pos="1857"/>
          <w:tab w:val="left" w:pos="900"/>
          <w:tab w:val="left" w:pos="1600"/>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5.本报告作为整体使用时有效。若房地产市场无重大波动，本估价报告自出具日起一年内有效，从2024年05月16日至</w:t>
      </w:r>
      <w:r>
        <w:rPr>
          <w:rFonts w:ascii="宋体" w:hAnsi="宋体"/>
          <w:sz w:val="24"/>
        </w:rPr>
        <w:t xml:space="preserve">2025年05月15日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ascii="楷体_GB2312" w:eastAsia="黑体"/>
          <w:sz w:val="24"/>
        </w:rPr>
        <w:t xml:space="preserve">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w:t>
      </w:r>
      <w:r>
        <w:rPr>
          <w:rFonts w:hint="eastAsia" w:ascii="楷体_GB2312" w:eastAsia="黑体"/>
          <w:sz w:val="24"/>
        </w:rPr>
        <w:t xml:space="preserve">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w:t>
      </w:r>
      <w:r>
        <w:rPr>
          <w:rFonts w:hint="eastAsia" w:hAnsi="宋体"/>
          <w:sz w:val="24"/>
        </w:rPr>
        <w:t xml:space="preserve">胜秀花苑</w:t>
      </w:r>
      <w:r>
        <w:rPr>
          <w:rFonts w:ascii="宋体" w:hAnsi="宋体"/>
          <w:sz w:val="24"/>
        </w:rPr>
        <w:t xml:space="preserve">5幢103室</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汾杨路西侧</w:t>
      </w:r>
      <w:r>
        <w:rPr>
          <w:rFonts w:hint="eastAsia" w:hAnsi="宋体"/>
          <w:sz w:val="24"/>
        </w:rPr>
        <w:t xml:space="preserve">的“</w:t>
      </w:r>
      <w:r>
        <w:rPr>
          <w:rFonts w:hint="eastAsia" w:hAnsi="宋体"/>
          <w:sz w:val="24"/>
        </w:rPr>
        <w:t xml:space="preserve">胜秀花苑</w:t>
      </w:r>
      <w:r>
        <w:rPr>
          <w:rFonts w:hint="eastAsia" w:hAnsi="宋体"/>
          <w:sz w:val="24"/>
        </w:rPr>
        <w:t xml:space="preserve">”住宅区内。</w:t>
      </w:r>
      <w:r>
        <w:rPr>
          <w:rFonts w:hint="eastAsia" w:ascii="宋体" w:hAnsi="宋体"/>
          <w:sz w:val="24"/>
        </w:rPr>
        <w:t xml:space="preserve">估价对象东至</w:t>
      </w:r>
      <w:r>
        <w:rPr>
          <w:rFonts w:ascii="宋体" w:hAnsi="宋体"/>
          <w:sz w:val="24"/>
          <w:szCs w:val="24"/>
        </w:rPr>
        <w:t xml:space="preserve">汾杨路</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沪渝高速</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东村里</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北厍公寓</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w:t>
      </w:r>
      <w:r>
        <w:rPr>
          <w:rFonts w:hint="eastAsia" w:ascii="楷体_GB2312" w:eastAsia="黑体"/>
          <w:sz w:val="24"/>
        </w:rPr>
        <w:t xml:space="preserve">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w:t>
      </w:r>
      <w:r>
        <w:rPr>
          <w:rFonts w:hint="eastAsia" w:ascii="楷体_GB2312" w:eastAsia="黑体"/>
          <w:sz w:val="24"/>
        </w:rPr>
        <w:t xml:space="preserve">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98.42</w:t>
      </w:r>
      <w:r>
        <w:rPr>
          <w:rFonts w:hint="eastAsia" w:hAnsi="宋体"/>
          <w:sz w:val="24"/>
        </w:rPr>
        <w:t xml:space="preserve">㎡。</w:t>
      </w:r>
    </w:p>
    <w:p>
      <w:pPr>
        <w:spacing w:line="480" w:lineRule="exact"/>
        <w:ind w:firstLine="425"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w:t>
      </w:r>
      <w:r>
        <w:rPr>
          <w:rFonts w:hint="eastAsia" w:hAnsi="宋体"/>
          <w:sz w:val="24"/>
          <w:szCs w:val="24"/>
        </w:rPr>
        <w:t xml:space="preserve">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汾杨路西侧</w:t>
      </w:r>
      <w:r>
        <w:rPr>
          <w:rFonts w:hint="eastAsia" w:hAnsi="宋体"/>
          <w:sz w:val="24"/>
        </w:rPr>
        <w:t xml:space="preserve">的“胜秀花苑”住宅区内。该小区内的物业类型包括：</w:t>
      </w:r>
      <w:r>
        <w:rPr>
          <w:rFonts w:hAnsi="宋体"/>
          <w:sz w:val="24"/>
        </w:rPr>
        <w:t xml:space="preserve">普通多层、小高层</w:t>
      </w:r>
      <w:r>
        <w:rPr>
          <w:rFonts w:hint="eastAsia" w:hAnsi="宋体"/>
          <w:sz w:val="24"/>
        </w:rPr>
        <w:t xml:space="preserve">，小区内水、电、气、有线电视等基础设施配套齐全，附近有学校、超市、菜场，商业、服务网点齐全，附近有公交站台，生活较方便。</w:t>
      </w:r>
    </w:p>
    <w:tbl>
      <w:tblPr>
        <w:tblStyle w:val="NormalTable"/>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5277"/>
        <w:gridCol w:w="3602"/>
      </w:tblGrid>
      <w:tr>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rPr/>
            </w:pPr>
            <w:r>
              <w:pict>
                <v:shape id="_x0000_i0005" style="height:220pt;width:220pt" o:spid="_x0000_i0029" o:bordertopcolor="this" o:borderleftcolor="this" o:borderbottomcolor="this" o:borderrightcolor="this" type="#_x0000_t75">
                  <v:imagedata o:title="" r:id="rId7"/>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rPr/>
            </w:pPr>
            <w:r>
              <w:pict>
                <v:shape id="_x0000_i0006" style="height:130pt;width:130pt" o:spid="_x0000_i0030"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胜秀花苑</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rPr/>
            </w:pPr>
          </w:p>
        </w:tc>
        <w:tc>
          <w:tcPr>
            <w:tcW w:w="3602" w:type="dxa"/>
            <w:vAlign w:val="center"/>
          </w:tcPr>
          <w:p>
            <w:pPr>
              <w:keepNext/>
              <w:spacing w:line="360" w:lineRule="auto"/>
              <w:jc w:val="center"/>
              <w:rPr/>
            </w:pPr>
            <w:r>
              <w:pict>
                <v:shape id="_x0000_i0007" style="height:2in;width:2in" o:spid="_x0000_i0031" o:bordertopcolor="this" o:borderleftcolor="this" o:borderbottomcolor="this" o:borderrightcolor="this" type="#_x0000_t75">
                  <v:imagedata o:title="" r:id="rId9"/>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w:t>
            </w:r>
            <w:r>
              <w:rPr>
                <w:rFonts w:hint="eastAsia" w:ascii="Cambria" w:hAnsi="宋体" w:eastAsia="黑体" w:cs="Times New Roman" w:asciiTheme="majorHAnsi" w:cstheme="majorBidi"/>
                <w:sz w:val="15"/>
                <w:szCs w:val="15"/>
              </w:rPr>
              <w:t xml:space="preserve">胜秀花苑</w:t>
            </w:r>
            <w:r>
              <w:rPr>
                <w:rFonts w:hint="eastAsia" w:ascii="Cambria" w:hAnsi="宋体" w:eastAsia="黑体" w:cs="Times New Roman" w:asciiTheme="majorHAnsi" w:cstheme="majorBidi"/>
                <w:sz w:val="15"/>
                <w:szCs w:val="15"/>
              </w:rPr>
              <w:t xml:space="preserve">”小区</w:t>
            </w:r>
            <w:r>
              <w:rPr>
                <w:rFonts w:ascii="Cambria" w:hAnsi="宋体" w:eastAsia="黑体" w:cs="Times New Roman" w:asciiTheme="majorHAnsi" w:cstheme="majorBidi"/>
                <w:sz w:val="15"/>
                <w:szCs w:val="15"/>
              </w:rPr>
              <w:t xml:space="preserve">5幢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由于胜秀花苑幢数较少，市场交易不活跃，片区内可选案例较少，因此选择的案例A，B，C，D，距离在3公里以外。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胜秀花苑住宅2024年4月挂牌均价11100元/平方米，较年初持平。待评估二手房住宅近9个月（2023年08月-2024年04月）挂牌均价波动幅度较小，价格维持在11100-12250元/平方米之间。</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均价说明：胜秀花苑小区物业类型包括：普通多层、小高层,房源均价为:11100元/平方米，包含毛坯价值以及附带装修价值。</w:t>
      </w:r>
    </w:p>
    <w:p>
      <w:pPr>
        <w:pStyle w:val="PlainText"/>
        <w:spacing w:line="540" w:lineRule="atLeast"/>
        <w:jc w:val="center"/>
        <w:rPr/>
      </w:pPr>
      <w:r>
        <w:pict>
          <v:shape id="_x0000_i0009" style="height:209pt;width:312pt" o:spid="_x0000_i0032" o:bordertopcolor="this" o:borderleftcolor="this" o:borderbottomcolor="this" o:borderrightcolor="this" type="#_x0000_t75">
            <v:imagedata o:title="" r:id="rId10"/>
          </v:shape>
        </w:pict>
      </w:r>
    </w:p>
    <w:p>
      <w:pPr>
        <w:pStyle w:val="PlainText"/>
        <w:spacing w:line="540" w:lineRule="atLeast"/>
        <w:ind w:firstLine="480" w:firstLineChars="200"/>
        <w:jc w:val="left"/>
        <w:rPr/>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该房屋为6层住宅楼的第1层，建于2015年，</w:t>
      </w:r>
      <w:r>
        <w:rPr>
          <w:rFonts w:ascii="宋体" w:hAnsi="宋体"/>
          <w:sz w:val="24"/>
        </w:rPr>
        <w:t xml:space="preserve">钢混结构</w:t>
      </w:r>
      <w:r>
        <w:rPr>
          <w:rFonts w:hint="eastAsia" w:ascii="宋体" w:hAnsi="宋体"/>
          <w:sz w:val="24"/>
        </w:rPr>
        <w:t xml:space="preserve">，南北朝向，建筑面积为</w:t>
      </w:r>
      <w:r>
        <w:rPr>
          <w:rFonts w:ascii="宋体" w:hAnsi="宋体"/>
          <w:sz w:val="24"/>
        </w:rPr>
        <w:t xml:space="preserve">98.42</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2085年12月14日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2024年04月23日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clear" w:pos="420"/>
          <w:tab w:val="left" w:pos="80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ind w:firstLine="480" w:firstLineChars="200"/>
        <w:jc w:val="both"/>
        <w:rPr>
          <w:rFonts w:ascii="宋体"/>
          <w:sz w:val="24"/>
        </w:rPr>
      </w:pPr>
      <w:r>
        <w:rPr>
          <w:rFonts w:hint="eastAsia"/>
          <w:sz w:val="24"/>
        </w:rPr>
        <w:t xml:space="preserve">6</w:t>
      </w:r>
      <w:r>
        <w:rPr>
          <w:rFonts w:hint="eastAsia" w:ascii="宋体" w:hAnsi="宋体"/>
          <w:sz w:val="24"/>
        </w:rPr>
        <w:t xml:space="preserve">.</w:t>
      </w:r>
      <w:r>
        <w:rPr>
          <w:rFonts w:hint="eastAsia"/>
          <w:sz w:val="24"/>
        </w:rPr>
        <w:t xml:space="preserve">预期收益原则：要求估价结果应充分考虑到预期潜在的收益因素，动态分析得出委托对象的价格。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5"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ascii="宋体"/>
          <w:sz w:val="24"/>
        </w:rPr>
      </w:pPr>
      <w:r>
        <w:rPr>
          <w:rFonts w:hint="eastAsia" w:ascii="宋体"/>
          <w:sz w:val="24"/>
        </w:rPr>
        <w:t xml:space="preserve">1.</w:t>
      </w:r>
      <w:r>
        <w:rPr>
          <w:rFonts w:ascii="宋体"/>
          <w:sz w:val="24"/>
        </w:rPr>
        <w:t xml:space="preserve">5</w:t>
      </w:r>
      <w:r>
        <w:rPr>
          <w:rFonts w:hint="eastAsia" w:ascii="宋体"/>
          <w:sz w:val="24"/>
        </w:rPr>
        <w:t xml:space="preserve">《中华人民共和国契税法》；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5"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 </w:t>
      </w:r>
      <w:r>
        <w:rPr>
          <w:rFonts w:hint="eastAsia" w:ascii="华文中宋" w:hAnsi="华文中宋" w:eastAsia="华文中宋" w:cs="宋体"/>
          <w:sz w:val="24"/>
        </w:rPr>
        <w:t xml:space="preserve">（元/平方米）</w:t>
      </w:r>
    </w:p>
    <w:p>
      <w:pPr>
        <w:spacing w:line="360" w:lineRule="auto"/>
        <w:ind w:firstLine="425"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w:t>
      </w:r>
      <w:r>
        <w:rPr>
          <w:rFonts w:hint="eastAsia" w:cs="宋体"/>
          <w:sz w:val="18"/>
          <w:szCs w:val="18"/>
        </w:rPr>
        <w:t xml:space="preserve">可比实例的正常市场成交价格；</w:t>
      </w:r>
    </w:p>
    <w:p>
      <w:pPr>
        <w:spacing w:line="360" w:lineRule="auto"/>
        <w:ind w:firstLine="425"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w:t>
      </w:r>
      <w:r>
        <w:rPr>
          <w:rFonts w:hint="eastAsia" w:cs="宋体"/>
          <w:sz w:val="18"/>
          <w:szCs w:val="18"/>
        </w:rPr>
        <w:t xml:space="preserve">1</w:t>
      </w:r>
      <w:r>
        <w:rPr>
          <w:rFonts w:hint="eastAsia" w:cs="宋体"/>
          <w:sz w:val="18"/>
          <w:szCs w:val="18"/>
        </w:rPr>
        <w:t xml:space="preserve">；</w:t>
      </w:r>
    </w:p>
    <w:p>
      <w:pPr>
        <w:spacing w:line="360" w:lineRule="auto"/>
        <w:ind w:firstLine="425"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5"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w:t>
      </w:r>
      <w:r>
        <w:rPr>
          <w:rFonts w:hint="eastAsia" w:cs="宋体"/>
          <w:sz w:val="18"/>
          <w:szCs w:val="18"/>
        </w:rPr>
        <w:t xml:space="preserve">2020</w:t>
      </w:r>
      <w:r>
        <w:rPr>
          <w:rFonts w:hint="eastAsia" w:cs="宋体"/>
          <w:sz w:val="18"/>
          <w:szCs w:val="18"/>
        </w:rPr>
        <w:t xml:space="preserve">年修订版）表</w:t>
      </w:r>
      <w:r>
        <w:rPr>
          <w:rFonts w:hint="eastAsia" w:cs="宋体"/>
          <w:sz w:val="18"/>
          <w:szCs w:val="18"/>
        </w:rPr>
        <w:t xml:space="preserve">3-8</w:t>
      </w:r>
      <w:r>
        <w:rPr>
          <w:rFonts w:hint="eastAsia" w:cs="宋体"/>
          <w:sz w:val="18"/>
          <w:szCs w:val="18"/>
        </w:rPr>
        <w:t xml:space="preserve">（</w:t>
      </w:r>
      <w:r>
        <w:rPr>
          <w:rFonts w:hint="eastAsia" w:cs="宋体"/>
          <w:sz w:val="18"/>
          <w:szCs w:val="18"/>
        </w:rPr>
        <w:t xml:space="preserve">P9</w:t>
      </w:r>
      <w:r>
        <w:rPr>
          <w:rFonts w:hint="eastAsia" w:cs="宋体"/>
          <w:sz w:val="18"/>
          <w:szCs w:val="18"/>
        </w:rPr>
        <w:t xml:space="preserve">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5"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w:t>
      </w:r>
      <w:r>
        <w:rPr>
          <w:rFonts w:hint="eastAsia" w:cs="宋体"/>
          <w:sz w:val="18"/>
          <w:szCs w:val="18"/>
        </w:rPr>
        <w:t xml:space="preserve">2020</w:t>
      </w:r>
      <w:r>
        <w:rPr>
          <w:rFonts w:hint="eastAsia" w:cs="宋体"/>
          <w:sz w:val="18"/>
          <w:szCs w:val="18"/>
        </w:rPr>
        <w:t xml:space="preserve">年修订版）表</w:t>
      </w:r>
      <w:r>
        <w:rPr>
          <w:rFonts w:hint="eastAsia" w:cs="宋体"/>
          <w:sz w:val="18"/>
          <w:szCs w:val="18"/>
        </w:rPr>
        <w:t xml:space="preserve">3-8</w:t>
      </w:r>
      <w:r>
        <w:rPr>
          <w:rFonts w:hint="eastAsia" w:cs="宋体"/>
          <w:sz w:val="18"/>
          <w:szCs w:val="18"/>
        </w:rPr>
        <w:t xml:space="preserve">（</w:t>
      </w:r>
      <w:r>
        <w:rPr>
          <w:rFonts w:hint="eastAsia" w:cs="宋体"/>
          <w:sz w:val="18"/>
          <w:szCs w:val="18"/>
        </w:rPr>
        <w:t xml:space="preserve">P9</w:t>
      </w:r>
      <w:r>
        <w:rPr>
          <w:rFonts w:hint="eastAsia" w:cs="宋体"/>
          <w:sz w:val="18"/>
          <w:szCs w:val="18"/>
        </w:rPr>
        <w:t xml:space="preserve">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5"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w:t>
      </w:r>
      <w:r>
        <w:rPr>
          <w:rFonts w:hint="eastAsia"/>
          <w:sz w:val="18"/>
          <w:szCs w:val="18"/>
        </w:rPr>
        <w:t xml:space="preserve"> </w:t>
      </w:r>
    </w:p>
    <w:p>
      <w:pPr>
        <w:spacing w:line="360" w:lineRule="auto"/>
        <w:ind w:firstLine="425"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w:t>
      </w:r>
      <w:r>
        <w:rPr>
          <w:rFonts w:hint="eastAsia" w:cs="宋体"/>
          <w:sz w:val="18"/>
          <w:szCs w:val="18"/>
        </w:rPr>
        <w:t xml:space="preserve">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w:t>
      </w:r>
      <w:r>
        <w:rPr>
          <w:rFonts w:hint="eastAsia"/>
          <w:szCs w:val="21"/>
        </w:rPr>
        <w:t xml:space="preserve">*</w:t>
      </w:r>
      <w:r>
        <w:rPr>
          <w:rFonts w:hint="eastAsia"/>
          <w:szCs w:val="21"/>
        </w:rPr>
        <w:t xml:space="preserve">装修成新率【</w:t>
      </w:r>
      <w:r>
        <w:rPr>
          <w:rFonts w:hint="eastAsia"/>
          <w:szCs w:val="21"/>
        </w:rPr>
        <w:t xml:space="preserve">1</w:t>
      </w:r>
      <w:r>
        <w:rPr>
          <w:rFonts w:hint="eastAsia"/>
          <w:szCs w:val="21"/>
        </w:rPr>
        <w:t xml:space="preserve">—</w:t>
      </w:r>
      <w:r>
        <w:rPr>
          <w:rFonts w:hint="eastAsia"/>
          <w:szCs w:val="21"/>
        </w:rPr>
        <w:t xml:space="preserve">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5"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w:t>
      </w:r>
      <w:r>
        <w:rPr>
          <w:rFonts w:hint="eastAsia" w:cs="宋体"/>
          <w:sz w:val="18"/>
          <w:szCs w:val="18"/>
        </w:rPr>
        <w:t xml:space="preserve">A</w:t>
      </w:r>
      <w:r>
        <w:rPr>
          <w:rFonts w:hint="eastAsia" w:ascii="宋体" w:hAnsi="宋体" w:cs="宋体"/>
          <w:sz w:val="18"/>
          <w:szCs w:val="18"/>
        </w:rPr>
        <w:t xml:space="preserve">。</w:t>
      </w:r>
    </w:p>
    <w:p>
      <w:pPr>
        <w:spacing w:line="360" w:lineRule="auto"/>
        <w:ind w:firstLine="425" w:firstLineChars="236"/>
        <w:rPr>
          <w:sz w:val="18"/>
          <w:szCs w:val="18"/>
        </w:rPr>
      </w:pPr>
      <w:r>
        <w:rPr>
          <w:rFonts w:hint="eastAsia"/>
          <w:sz w:val="18"/>
          <w:szCs w:val="18"/>
        </w:rPr>
        <w:t xml:space="preserve">注：住宅的装修耐用年限一般设定为</w:t>
      </w:r>
      <w:r>
        <w:rPr>
          <w:rFonts w:hint="eastAsia"/>
          <w:sz w:val="18"/>
          <w:szCs w:val="18"/>
        </w:rPr>
        <w:t xml:space="preserve">5-8</w:t>
      </w:r>
      <w:r>
        <w:rPr>
          <w:rFonts w:hint="eastAsia"/>
          <w:sz w:val="18"/>
          <w:szCs w:val="18"/>
        </w:rPr>
        <w:t xml:space="preserve">年，计算时统一设定为</w:t>
      </w:r>
      <w:r>
        <w:rPr>
          <w:rFonts w:hint="eastAsia"/>
          <w:sz w:val="18"/>
          <w:szCs w:val="18"/>
        </w:rPr>
        <w:t xml:space="preserve">8</w:t>
      </w:r>
      <w:r>
        <w:rPr>
          <w:rFonts w:hint="eastAsia"/>
          <w:sz w:val="18"/>
          <w:szCs w:val="18"/>
        </w:rPr>
        <w:t xml:space="preserve">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5"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w:t>
      </w:r>
      <w:r>
        <w:rPr>
          <w:rFonts w:hint="eastAsia" w:cs="宋体"/>
          <w:sz w:val="18"/>
          <w:szCs w:val="18"/>
        </w:rPr>
        <w:t xml:space="preserve">B</w:t>
      </w:r>
      <w:r>
        <w:rPr>
          <w:rFonts w:hint="eastAsia" w:cs="宋体"/>
          <w:sz w:val="18"/>
          <w:szCs w:val="18"/>
        </w:rPr>
        <w:t xml:space="preserve">，包括车库、阁楼、储藏室计价系数，</w:t>
      </w:r>
      <w:r>
        <w:rPr>
          <w:rFonts w:hint="eastAsia" w:ascii="宋体" w:hAnsi="宋体" w:cs="宋体"/>
          <w:sz w:val="18"/>
          <w:szCs w:val="18"/>
        </w:rPr>
        <w:t xml:space="preserve">用来计算扣除附属物价格。</w:t>
      </w:r>
    </w:p>
    <w:p>
      <w:pPr>
        <w:spacing w:line="360" w:lineRule="auto"/>
        <w:ind w:firstLine="425"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5"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5"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w:t>
      </w:r>
      <w:r>
        <w:rPr>
          <w:rFonts w:hint="eastAsia" w:ascii="宋体" w:hAnsi="宋体"/>
          <w:sz w:val="24"/>
        </w:rPr>
        <w:t xml:space="preserve">象于价值时点的市场参考价为</w:t>
      </w:r>
      <w:r>
        <w:rPr>
          <w:rFonts w:hint="eastAsia" w:ascii="宋体" w:hAnsi="宋体"/>
          <w:b/>
          <w:bCs/>
          <w:sz w:val="24"/>
        </w:rPr>
        <w:t xml:space="preserve">人民币单价：每平方米</w:t>
      </w:r>
      <w:r>
        <w:rPr>
          <w:rFonts w:ascii="宋体" w:hAnsi="宋体"/>
          <w:b/>
          <w:bCs/>
          <w:sz w:val="24"/>
        </w:rPr>
        <w:t xml:space="preserve">伍仟陆佰陆拾柒元整</w:t>
      </w:r>
      <w:r>
        <w:rPr>
          <w:rFonts w:hint="eastAsia" w:ascii="宋体" w:hAnsi="宋体"/>
          <w:b/>
          <w:bCs/>
          <w:sz w:val="24"/>
        </w:rPr>
        <w:t xml:space="preserve">（RMB </w:t>
      </w:r>
      <w:r>
        <w:rPr>
          <w:rFonts w:ascii="宋体" w:hAnsi="宋体"/>
          <w:b/>
          <w:bCs/>
          <w:sz w:val="24"/>
        </w:rPr>
        <w:t xml:space="preserve">5667</w:t>
      </w:r>
      <w:r>
        <w:rPr>
          <w:rFonts w:hint="eastAsia" w:ascii="宋体" w:hAnsi="宋体"/>
          <w:b/>
          <w:bCs/>
          <w:sz w:val="24"/>
        </w:rPr>
        <w:t xml:space="preserve">元/平方米）。</w:t>
      </w:r>
    </w:p>
    <w:tbl>
      <w:tblPr>
        <w:tblStyle w:val="NormalTable"/>
        <w:tblW w:w="8522" w:type="dxa"/>
        <w:jc w:val="center"/>
        <w:tblLayout w:type="fixed"/>
        <w:tblLook w:val="04A0" w:firstRow="1" w:lastRow="0" w:firstColumn="1" w:lastColumn="0" w:noHBand="0" w:noVBand="1"/>
      </w:tblPr>
      <w:tblGrid>
        <w:gridCol w:w="2152"/>
        <w:gridCol w:w="2153"/>
        <w:gridCol w:w="4217"/>
      </w:tblGrid>
      <w:tr>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55.77</w:t>
            </w:r>
          </w:p>
        </w:tc>
      </w:tr>
      <w:tr>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5667</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NormalTable"/>
        <w:tblpPr w:vertAnchor="text" w:tblpX="103" w:tblpY="300"/>
        <w:tblOverlap w:val="never"/>
        <w:tblW w:w="8690" w:type="dxa"/>
        <w:tblLayout w:type="fixed"/>
        <w:tblCellMar>
          <w:left w:w="262" w:type="dxa"/>
          <w:right w:w="115" w:type="dxa"/>
        </w:tblCellMar>
        <w:tblLook w:val="04A0" w:firstRow="1" w:lastRow="0" w:firstColumn="1" w:lastColumn="0" w:noHBand="0" w:noVBand="1"/>
      </w:tblPr>
      <w:tblGrid>
        <w:gridCol w:w="1699"/>
        <w:gridCol w:w="2503"/>
        <w:gridCol w:w="2100"/>
        <w:gridCol w:w="2388"/>
      </w:tblGrid>
      <w:tr>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2024年05月16日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张裕广</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3220210423</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2024年05月16日</w:t>
            </w:r>
          </w:p>
        </w:tc>
      </w:tr>
    </w:tbl>
    <w:p>
      <w:pPr>
        <w:widowControl w:val="0"/>
        <w:spacing w:line="520" w:lineRule="exact"/>
        <w:rPr>
          <w:rFonts w:ascii="黑体" w:eastAsia="黑体"/>
          <w:sz w:val="24"/>
        </w:rPr>
      </w:pPr>
      <w:r>
        <w:rPr>
          <w:rFonts w:hint="eastAsia" w:ascii="黑体" w:eastAsia="黑体"/>
          <w:sz w:val="24"/>
        </w:rPr>
        <w:t xml:space="preserve">十二、实地勘察期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本次实地查勘期为2024年04月23日，并于当日完成现场查勘。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2024年04月23日</w:t>
      </w:r>
      <w:r>
        <w:rPr>
          <w:rFonts w:hint="eastAsia" w:ascii="宋体"/>
          <w:sz w:val="24"/>
        </w:rPr>
        <w:t xml:space="preserve">至2024年05月16日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w:t>
      </w:r>
      <w:r>
        <w:rPr>
          <w:rFonts w:hint="eastAsia" w:hAnsi="宋体"/>
          <w:sz w:val="24"/>
        </w:rPr>
        <w:t xml:space="preserve">胜秀花苑</w:t>
      </w:r>
      <w:r>
        <w:rPr>
          <w:rFonts w:hint="eastAsia" w:hAnsi="宋体"/>
          <w:sz w:val="24"/>
        </w:rPr>
        <w:t xml:space="preserve">”住宅区内的</w:t>
      </w:r>
      <w:r>
        <w:rPr>
          <w:rFonts w:hAnsi="宋体"/>
          <w:sz w:val="24"/>
        </w:rPr>
        <w:t xml:space="preserve">普通多层</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ascii="宋体" w:hAnsi="宋体"/>
          <w:sz w:val="24"/>
        </w:rPr>
        <w:t xml:space="preserve">位于东村里东侧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东村里东侧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附近有795路、793路等多条公交线路</w:t>
      </w:r>
      <w:r>
        <w:rPr>
          <w:rFonts w:hint="eastAsia" w:hAnsi="宋体"/>
          <w:sz w:val="24"/>
        </w:rPr>
        <w:t xml:space="preserve">，</w:t>
      </w:r>
      <w:r>
        <w:rPr>
          <w:rFonts w:hAnsi="宋体"/>
          <w:sz w:val="24"/>
        </w:rPr>
        <w:t xml:space="preserve">至公交站点的距离约为1000米，公交班次平均隔15分钟有一辆汽车通过。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5"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东兴超市（厍南路）</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苏州农商银行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北厍菜市场</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北厍中心幼儿园</w:t>
      </w:r>
      <w:r>
        <w:rPr>
          <w:rFonts w:hint="eastAsia" w:ascii="宋体" w:hAnsi="宋体" w:eastAsia="宋体" w:asciiTheme="minorEastAsia" w:hAnsiTheme="minorEastAsia" w:eastAsiaTheme="minorEastAsia"/>
          <w:sz w:val="24"/>
        </w:rPr>
        <w:t xml:space="preserve">、</w:t>
      </w:r>
      <w:r>
        <w:rPr>
          <w:rFonts w:hAnsi="宋体"/>
          <w:sz w:val="24"/>
        </w:rPr>
        <w:t xml:space="preserve">北厍小学</w:t>
      </w:r>
      <w:r>
        <w:rPr>
          <w:rFonts w:hint="eastAsia" w:hAnsi="宋体"/>
          <w:sz w:val="24"/>
        </w:rPr>
        <w:t xml:space="preserve">、</w:t>
      </w:r>
      <w:r>
        <w:rPr>
          <w:rFonts w:hAnsi="宋体"/>
          <w:sz w:val="24"/>
        </w:rPr>
        <w:t xml:space="preserve">北厍中学</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ascii="楷体_GB2312" w:eastAsia="黑体"/>
          <w:sz w:val="24"/>
        </w:rPr>
        <w:t xml:space="preserve">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2085年12月14日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估价对象东至</w:t>
      </w:r>
      <w:r>
        <w:rPr>
          <w:rFonts w:ascii="宋体" w:hAnsi="宋体"/>
          <w:sz w:val="24"/>
        </w:rPr>
        <w:t xml:space="preserve">汾杨路</w:t>
      </w:r>
      <w:r>
        <w:rPr>
          <w:rFonts w:hint="eastAsia" w:ascii="宋体" w:hAnsi="宋体"/>
          <w:sz w:val="24"/>
        </w:rPr>
        <w:t xml:space="preserve">，南至</w:t>
      </w:r>
      <w:r>
        <w:rPr>
          <w:rFonts w:ascii="宋体" w:hAnsi="宋体"/>
          <w:sz w:val="24"/>
        </w:rPr>
        <w:t xml:space="preserve">沪渝高速</w:t>
      </w:r>
      <w:r>
        <w:rPr>
          <w:rFonts w:hint="eastAsia" w:ascii="宋体" w:hAnsi="宋体"/>
          <w:sz w:val="24"/>
        </w:rPr>
        <w:t xml:space="preserve">，西至</w:t>
      </w:r>
      <w:r>
        <w:rPr>
          <w:rFonts w:ascii="宋体" w:hAnsi="宋体"/>
          <w:sz w:val="24"/>
        </w:rPr>
        <w:t xml:space="preserve">东村里</w:t>
      </w:r>
      <w:r>
        <w:rPr>
          <w:rFonts w:hint="eastAsia" w:ascii="宋体" w:hAnsi="宋体"/>
          <w:sz w:val="24"/>
        </w:rPr>
        <w:t xml:space="preserve">，北至</w:t>
      </w:r>
      <w:r>
        <w:rPr>
          <w:rFonts w:ascii="宋体" w:hAnsi="宋体"/>
          <w:sz w:val="24"/>
        </w:rPr>
        <w:t xml:space="preserve">北厍公寓</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w:t>
      </w:r>
      <w:r>
        <w:rPr>
          <w:rFonts w:hint="eastAsia" w:hAnsi="宋体"/>
          <w:sz w:val="24"/>
        </w:rPr>
        <w:t xml:space="preserve">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估价对象为坐落于苏州市吴江区胜秀花苑</w:t>
      </w:r>
      <w:r>
        <w:t xml:space="preserve"> </w:t>
      </w:r>
      <w:r>
        <w:rPr>
          <w:rFonts w:ascii="宋体" w:hAnsi="宋体"/>
          <w:kern w:val="2"/>
          <w:sz w:val="24"/>
        </w:rPr>
        <w:t xml:space="preserve">5幢103室</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w:t>
      </w:r>
      <w:r>
        <w:rPr>
          <w:rFonts w:hint="eastAsia" w:hAnsi="宋体"/>
          <w:sz w:val="24"/>
        </w:rPr>
        <w:t xml:space="preserve">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w:t>
      </w:r>
      <w:r>
        <w:rPr>
          <w:rFonts w:hint="eastAsia" w:hAnsi="宋体"/>
          <w:sz w:val="24"/>
        </w:rPr>
        <w:t xml:space="preserve">普通多层</w:t>
      </w:r>
      <w:r>
        <w:rPr>
          <w:rFonts w:hint="eastAsia" w:hAnsi="宋体"/>
          <w:sz w:val="24"/>
        </w:rPr>
        <w:t xml:space="preserve">建筑，建筑面积为</w:t>
      </w:r>
      <w:r>
        <w:rPr>
          <w:rFonts w:hAnsi="宋体"/>
          <w:sz w:val="24"/>
        </w:rPr>
        <w:t xml:space="preserve">98.42</w:t>
      </w:r>
      <w:r>
        <w:rPr>
          <w:rFonts w:hint="eastAsia" w:hAnsi="宋体"/>
          <w:sz w:val="24"/>
        </w:rPr>
        <w:t xml:space="preserve">㎡，</w:t>
      </w:r>
      <w:r>
        <w:rPr>
          <w:rFonts w:hAnsi="宋体"/>
          <w:sz w:val="24"/>
        </w:rPr>
        <w:t xml:space="preserve">钢混结构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w:t>
      </w:r>
      <w:r>
        <w:rPr>
          <w:rFonts w:hint="eastAsia" w:hAnsi="宋体"/>
          <w:sz w:val="24"/>
        </w:rPr>
        <w:t xml:space="preserve">层数、层高：估价对象位于总楼层为</w:t>
      </w:r>
      <w:r>
        <w:rPr>
          <w:rFonts w:hint="eastAsia" w:hAnsi="宋体"/>
          <w:sz w:val="24"/>
        </w:rPr>
        <w:t xml:space="preserve">6</w:t>
      </w:r>
      <w:r>
        <w:rPr>
          <w:rFonts w:hint="eastAsia" w:hAnsi="宋体"/>
          <w:sz w:val="24"/>
        </w:rPr>
        <w:t xml:space="preserve">层的第</w:t>
      </w:r>
      <w:r>
        <w:rPr>
          <w:rFonts w:hint="eastAsia" w:hAnsi="宋体"/>
          <w:sz w:val="24"/>
        </w:rPr>
        <w:t xml:space="preserve">1</w:t>
      </w:r>
      <w:r>
        <w:rPr>
          <w:rFonts w:hint="eastAsia" w:hAnsi="宋体"/>
          <w:sz w:val="24"/>
        </w:rPr>
        <w:t xml:space="preserve">层，层高约</w:t>
      </w:r>
      <w:r>
        <w:rPr>
          <w:rFonts w:hint="eastAsia" w:hAnsi="宋体"/>
          <w:sz w:val="24"/>
        </w:rPr>
        <w:t xml:space="preserve">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w:t>
      </w:r>
      <w:r>
        <w:rPr>
          <w:rFonts w:hint="eastAsia" w:hAnsi="宋体"/>
          <w:sz w:val="24"/>
        </w:rPr>
        <w:t xml:space="preserve">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w:t>
      </w:r>
      <w:r>
        <w:rPr>
          <w:rFonts w:hint="eastAsia" w:hAnsi="宋体"/>
          <w:sz w:val="24"/>
        </w:rPr>
        <w:t xml:space="preserve">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w:t>
      </w:r>
      <w:r>
        <w:rPr>
          <w:rFonts w:hint="eastAsia" w:hAnsi="宋体"/>
          <w:sz w:val="24"/>
        </w:rPr>
        <w:t xml:space="preserve">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w:t>
      </w:r>
      <w:r>
        <w:rPr>
          <w:rFonts w:hint="eastAsia" w:hAnsi="宋体"/>
          <w:sz w:val="24"/>
        </w:rPr>
        <w:t xml:space="preserve">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w:t>
      </w:r>
      <w:r>
        <w:rPr>
          <w:rFonts w:hint="eastAsia" w:hAnsi="宋体"/>
          <w:sz w:val="24"/>
        </w:rPr>
        <w:t xml:space="preserve">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w:t>
      </w:r>
      <w:r>
        <w:rPr>
          <w:rFonts w:hint="eastAsia" w:hAnsi="宋体"/>
          <w:sz w:val="24"/>
        </w:rPr>
        <w:t xml:space="preserve">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w:t>
      </w:r>
      <w:r>
        <w:rPr>
          <w:rFonts w:hint="eastAsia" w:hAnsi="宋体"/>
          <w:sz w:val="24"/>
        </w:rPr>
        <w:t xml:space="preserve">防水：屋顶或楼板不漏水，外墙不渗雨；</w:t>
      </w:r>
    </w:p>
    <w:p>
      <w:pPr>
        <w:widowControl w:val="0"/>
        <w:tabs>
          <w:tab w:val="left" w:pos="2100"/>
        </w:tabs>
        <w:spacing w:line="500" w:lineRule="exact"/>
        <w:ind w:firstLine="482"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w:t>
      </w:r>
      <w:r>
        <w:rPr>
          <w:rFonts w:hint="eastAsia" w:hAnsi="宋体"/>
          <w:sz w:val="24"/>
        </w:rPr>
        <w:t xml:space="preserve">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三室两厅一卫</w:t>
      </w:r>
      <w:r>
        <w:rPr>
          <w:rFonts w:hint="eastAsia" w:hAnsi="宋体"/>
          <w:sz w:val="24"/>
        </w:rPr>
        <w:t xml:space="preserve">，</w:t>
      </w:r>
      <w:r>
        <w:rPr>
          <w:rFonts w:hAnsi="宋体"/>
          <w:sz w:val="24"/>
        </w:rPr>
        <w:t xml:space="preserve">两间朝南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w:t>
      </w:r>
      <w:r>
        <w:rPr>
          <w:rFonts w:hint="eastAsia" w:hAnsi="宋体"/>
          <w:sz w:val="24"/>
        </w:rPr>
        <w:t xml:space="preserve">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w:t>
      </w:r>
      <w:r>
        <w:rPr>
          <w:rFonts w:hint="eastAsia" w:hAnsi="宋体"/>
          <w:sz w:val="24"/>
        </w:rPr>
        <w:t xml:space="preserve">，具备供水、排水、供电、通信、网络等设施，设施较齐备，智能化程度一般，</w:t>
      </w:r>
      <w:r>
        <w:rPr>
          <w:rFonts w:hAnsi="宋体"/>
          <w:sz w:val="24"/>
        </w:rPr>
        <w:t xml:space="preserve">半封闭管理，设小区门卫，无保安巡逻</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w:t>
      </w:r>
      <w:r>
        <w:rPr>
          <w:rFonts w:hint="eastAsia" w:hAnsi="宋体"/>
          <w:sz w:val="24"/>
        </w:rPr>
        <w:t xml:space="preserve">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w:t>
      </w:r>
      <w:r>
        <w:rPr>
          <w:rFonts w:hint="eastAsia" w:hAnsi="宋体"/>
          <w:sz w:val="24"/>
        </w:rPr>
        <w:t xml:space="preserve">估价对象建成于</w:t>
      </w:r>
      <w:r>
        <w:rPr>
          <w:rFonts w:hint="eastAsia" w:hAnsi="宋体"/>
          <w:sz w:val="24"/>
        </w:rPr>
        <w:t xml:space="preserve">2015</w:t>
      </w:r>
      <w:r>
        <w:rPr>
          <w:rFonts w:hint="eastAsia" w:hAnsi="宋体"/>
          <w:sz w:val="24"/>
        </w:rPr>
        <w:t xml:space="preserve">年，基础较为稳固，未见沉降；墙面、地面、门窗等保养完好，综合保养成新度为</w:t>
      </w:r>
      <w:r>
        <w:rPr>
          <w:rFonts w:hAnsi="宋体"/>
          <w:sz w:val="24"/>
        </w:rPr>
        <w:t xml:space="preserve">九成新</w:t>
      </w:r>
      <w:r>
        <w:rPr>
          <w:rFonts w:hint="eastAsia" w:hAnsi="宋体"/>
          <w:sz w:val="24"/>
        </w:rPr>
        <w:t xml:space="preserve">。</w:t>
      </w:r>
    </w:p>
    <w:p>
      <w:pPr>
        <w:widowControl w:val="0"/>
        <w:tabs>
          <w:tab w:val="left" w:pos="2100"/>
        </w:tabs>
        <w:spacing w:line="500" w:lineRule="exact"/>
        <w:rPr>
          <w:rFonts w:ascii="黑体" w:hAnsi="黑体" w:eastAsia="黑体"/>
          <w:sz w:val="24"/>
        </w:rPr>
      </w:pPr>
      <w:r w:rsidRPr="009A25D8">
        <w:rPr>
          <w:rFonts w:hint="eastAsia" w:ascii="黑体" w:hAnsi="黑体" w:eastAsia="黑体"/>
          <w:sz w:val="24"/>
        </w:rPr>
        <w:t xml:space="preserve">三、市场背景描述与分析</w:t>
      </w:r>
    </w:p>
    <w:p>
      <w:pPr>
        <w:spacing w:line="480" w:lineRule="exact"/>
        <w:ind w:firstLine="480" w:firstLineChars="200"/>
        <w:jc w:val="both"/>
        <w:rPr>
          <w:sz w:val="24"/>
        </w:rPr>
      </w:pPr>
      <w:r w:rsidRPr="009A25D8">
        <w:rPr>
          <w:rFonts w:eastAsia="黑体"/>
          <w:sz w:val="24"/>
        </w:rPr>
        <w:t xml:space="preserve">1</w:t>
      </w:r>
      <w:r w:rsidRPr="009A25D8">
        <w:rPr>
          <w:rFonts w:hint="eastAsia" w:eastAsia="黑体"/>
          <w:sz w:val="24"/>
        </w:rPr>
        <w:t xml:space="preserve">、吴江区经济社会发</w:t>
      </w:r>
      <w:r w:rsidRPr="009A25D8">
        <w:rPr>
          <w:rFonts w:hint="eastAsia" w:eastAsia="黑体"/>
          <w:sz w:val="24"/>
          <w:szCs w:val="24"/>
        </w:rPr>
        <w:t xml:space="preserve">展状况</w:t>
      </w:r>
    </w:p>
    <w:p>
      <w:pPr>
        <w:spacing w:line="480" w:lineRule="exact"/>
        <w:ind w:firstLine="480" w:firstLineChars="200"/>
        <w:jc w:val="both"/>
        <w:rPr>
          <w:color w:val="000000" w:themeColor="text1"/>
          <w:kern w:val="2"/>
          <w:sz w:val="24"/>
          <w:szCs w:val="24"/>
        </w:rPr>
      </w:pPr>
      <w:r w:rsidRPr="009A25D8">
        <w:rPr>
          <w:color w:val="000000" w:themeColor="text1"/>
          <w:kern w:val="2"/>
          <w:sz w:val="24"/>
          <w:szCs w:val="24"/>
        </w:rPr>
        <w:t xml:space="preserve">1.1</w:t>
      </w:r>
      <w:r w:rsidRPr="009A25D8">
        <w:rPr>
          <w:rFonts w:hint="eastAsia"/>
          <w:color w:val="000000" w:themeColor="text1"/>
          <w:kern w:val="2"/>
          <w:sz w:val="24"/>
          <w:szCs w:val="24"/>
        </w:rPr>
        <w:t xml:space="preserve">吴江区经济结构</w:t>
      </w:r>
    </w:p>
    <w:p>
      <w:pPr>
        <w:spacing w:line="480" w:lineRule="exact"/>
        <w:ind w:firstLine="480" w:firstLineChars="200"/>
        <w:jc w:val="both"/>
        <w:rPr>
          <w:color w:val="000000" w:themeColor="text1"/>
          <w:kern w:val="2"/>
          <w:sz w:val="24"/>
          <w:szCs w:val="24"/>
        </w:rPr>
      </w:pPr>
      <w:bookmarkStart w:name="_Hlk159246685" w:id="10"/>
      <w:bookmarkStart w:name="_Hlk159245597" w:id="11"/>
      <w:r w:rsidRPr="009A25D8">
        <w:rPr>
          <w:color w:val="000000" w:themeColor="text1"/>
          <w:kern w:val="2"/>
          <w:sz w:val="24"/>
          <w:szCs w:val="24"/>
        </w:rPr>
        <w:t xml:space="preserve">2023</w:t>
      </w:r>
      <w:r w:rsidRPr="009A25D8">
        <w:rPr>
          <w:color w:val="000000" w:themeColor="text1"/>
          <w:kern w:val="2"/>
          <w:sz w:val="24"/>
          <w:szCs w:val="24"/>
        </w:rPr>
        <w:t xml:space="preserve">年，吴江区实现地区生产总值</w:t>
      </w:r>
      <w:r w:rsidRPr="009A25D8">
        <w:rPr>
          <w:color w:val="000000" w:themeColor="text1"/>
          <w:kern w:val="2"/>
          <w:sz w:val="24"/>
          <w:szCs w:val="24"/>
        </w:rPr>
        <w:t xml:space="preserve">2377.28</w:t>
      </w:r>
      <w:r w:rsidRPr="009A25D8">
        <w:rPr>
          <w:color w:val="000000" w:themeColor="text1"/>
          <w:kern w:val="2"/>
          <w:sz w:val="24"/>
          <w:szCs w:val="24"/>
        </w:rPr>
        <w:t xml:space="preserve">亿元，按不变价格计算，比上年增长</w:t>
      </w:r>
      <w:r w:rsidRPr="009A25D8">
        <w:rPr>
          <w:color w:val="000000" w:themeColor="text1"/>
          <w:kern w:val="2"/>
          <w:sz w:val="24"/>
          <w:szCs w:val="24"/>
        </w:rPr>
        <w:t xml:space="preserve">4.2%</w:t>
      </w:r>
      <w:r w:rsidRPr="009A25D8">
        <w:rPr>
          <w:color w:val="000000" w:themeColor="text1"/>
          <w:kern w:val="2"/>
          <w:sz w:val="24"/>
          <w:szCs w:val="24"/>
        </w:rPr>
        <w:t xml:space="preserve">，增速较</w:t>
      </w:r>
      <w:r w:rsidRPr="009A25D8">
        <w:rPr>
          <w:color w:val="000000" w:themeColor="text1"/>
          <w:kern w:val="2"/>
          <w:sz w:val="24"/>
          <w:szCs w:val="24"/>
        </w:rPr>
        <w:t xml:space="preserve">2022</w:t>
      </w:r>
      <w:r w:rsidRPr="009A25D8">
        <w:rPr>
          <w:color w:val="000000" w:themeColor="text1"/>
          <w:kern w:val="2"/>
          <w:sz w:val="24"/>
          <w:szCs w:val="24"/>
        </w:rPr>
        <w:t xml:space="preserve">年提升</w:t>
      </w:r>
      <w:r w:rsidRPr="009A25D8">
        <w:rPr>
          <w:color w:val="000000" w:themeColor="text1"/>
          <w:kern w:val="2"/>
          <w:sz w:val="24"/>
          <w:szCs w:val="24"/>
        </w:rPr>
        <w:t xml:space="preserve">1.9</w:t>
      </w:r>
      <w:r w:rsidRPr="009A25D8">
        <w:rPr>
          <w:color w:val="000000" w:themeColor="text1"/>
          <w:kern w:val="2"/>
          <w:sz w:val="24"/>
          <w:szCs w:val="24"/>
        </w:rPr>
        <w:t xml:space="preserve">个百分点，总量和增速分别列大市第</w:t>
      </w:r>
      <w:r w:rsidRPr="009A25D8">
        <w:rPr>
          <w:color w:val="000000" w:themeColor="text1"/>
          <w:kern w:val="2"/>
          <w:sz w:val="24"/>
          <w:szCs w:val="24"/>
        </w:rPr>
        <w:t xml:space="preserve">5</w:t>
      </w:r>
      <w:r w:rsidRPr="009A25D8">
        <w:rPr>
          <w:color w:val="000000" w:themeColor="text1"/>
          <w:kern w:val="2"/>
          <w:sz w:val="24"/>
          <w:szCs w:val="24"/>
        </w:rPr>
        <w:t xml:space="preserve">和第</w:t>
      </w:r>
      <w:r w:rsidRPr="009A25D8">
        <w:rPr>
          <w:color w:val="000000" w:themeColor="text1"/>
          <w:kern w:val="2"/>
          <w:sz w:val="24"/>
          <w:szCs w:val="24"/>
        </w:rPr>
        <w:t xml:space="preserve">6</w:t>
      </w:r>
      <w:bookmarkEnd w:id="10"/>
      <w:r w:rsidRPr="009A25D8">
        <w:rPr>
          <w:color w:val="000000" w:themeColor="text1"/>
          <w:kern w:val="2"/>
          <w:sz w:val="24"/>
          <w:szCs w:val="24"/>
        </w:rPr>
        <w:t xml:space="preserve">。对吴江区近</w:t>
      </w:r>
      <w:r w:rsidRPr="009A25D8">
        <w:rPr>
          <w:color w:val="000000" w:themeColor="text1"/>
          <w:kern w:val="2"/>
          <w:sz w:val="24"/>
          <w:szCs w:val="24"/>
        </w:rPr>
        <w:t xml:space="preserve">5</w:t>
      </w:r>
      <w:r w:rsidRPr="009A25D8">
        <w:rPr>
          <w:color w:val="000000" w:themeColor="text1"/>
          <w:kern w:val="2"/>
          <w:sz w:val="24"/>
          <w:szCs w:val="24"/>
        </w:rPr>
        <w:t xml:space="preserve">年来实现地区生产总值收入情况进行了数据分析，具体详见下表</w:t>
      </w:r>
      <w:bookmarkEnd w:id="11"/>
      <w:r w:rsidRPr="009A25D8">
        <w:rPr>
          <w:color w:val="000000" w:themeColor="text1"/>
          <w:kern w:val="2"/>
          <w:sz w:val="24"/>
          <w:szCs w:val="24"/>
        </w:rPr>
        <w:t xml:space="preserve">：</w:t>
      </w:r>
    </w:p>
    <w:p>
      <w:pPr>
        <w:spacing w:before="156" w:beforeLines="50" w:after="156" w:afterLines="50" w:line="480" w:lineRule="exact"/>
        <w:jc w:val="center"/>
        <w:rPr>
          <w:rFonts w:ascii="宋体" w:hAnsi="宋体"/>
          <w:b/>
          <w:bCs/>
          <w:sz w:val="24"/>
          <w:szCs w:val="24"/>
        </w:rPr>
      </w:pPr>
      <w:r w:rsidRPr="009A25D8">
        <w:rPr>
          <w:rFonts w:ascii="宋体" w:hAnsi="宋体"/>
          <w:b/>
          <w:bCs/>
          <w:sz w:val="24"/>
          <w:szCs w:val="24"/>
        </w:rPr>
        <w:t xml:space="preserve">表</w:t>
      </w:r>
      <w:r>
        <w:rPr>
          <w:rFonts w:ascii="宋体" w:hAnsi="宋体"/>
          <w:b/>
          <w:bCs/>
          <w:sz w:val="24"/>
          <w:szCs w:val="24"/>
        </w:rPr>
        <w:fldChar w:fldCharType="begin"/>
      </w:r>
      <w:r w:rsidRPr="009A25D8">
        <w:rPr>
          <w:rFonts w:ascii="宋体" w:hAnsi="宋体"/>
          <w:b/>
          <w:bCs/>
          <w:sz w:val="24"/>
          <w:szCs w:val="24"/>
        </w:rPr>
        <w:instrText xml:space="preserve"> SEQ 表 \* ARABIC </w:instrText>
      </w:r>
      <w:r>
        <w:rPr>
          <w:rFonts w:ascii="宋体" w:hAnsi="宋体"/>
          <w:b/>
          <w:bCs/>
          <w:sz w:val="24"/>
          <w:szCs w:val="24"/>
        </w:rPr>
        <w:fldChar w:fldCharType="separate"/>
      </w:r>
      <w:r w:rsidRPr="009A25D8">
        <w:rPr>
          <w:rFonts w:ascii="宋体" w:hAnsi="宋体"/>
          <w:b/>
          <w:bCs/>
          <w:noProof/>
          <w:sz w:val="24"/>
          <w:szCs w:val="24"/>
        </w:rPr>
        <w:t xml:space="preserve">1</w:t>
      </w:r>
      <w:r>
        <w:rPr>
          <w:rFonts w:ascii="宋体" w:hAnsi="宋体"/>
          <w:b/>
          <w:bCs/>
          <w:sz w:val="24"/>
          <w:szCs w:val="24"/>
        </w:rPr>
        <w:fldChar w:fldCharType="end"/>
      </w:r>
      <w:r w:rsidRPr="009A25D8">
        <w:rPr>
          <w:rFonts w:ascii="宋体" w:hAnsi="宋体"/>
          <w:b/>
          <w:bCs/>
          <w:sz w:val="24"/>
          <w:szCs w:val="24"/>
        </w:rPr>
        <w:t xml:space="preserve"> 吴江区实现地区生产总值分析表</w:t>
      </w:r>
    </w:p>
    <w:tbl>
      <w:tblPr>
        <w:tblStyle w:val="NormalTable"/>
        <w:tblW w:w="4880"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ook w:val="04A0" w:firstRow="1" w:lastRow="0" w:firstColumn="1" w:lastColumn="0" w:noHBand="0" w:noVBand="1"/>
      </w:tblPr>
      <w:tblGrid>
        <w:gridCol w:w="3072"/>
        <w:gridCol w:w="1001"/>
        <w:gridCol w:w="985"/>
        <w:gridCol w:w="1045"/>
        <w:gridCol w:w="991"/>
        <w:gridCol w:w="1223"/>
      </w:tblGrid>
      <w:tr w:rsidTr="00CA20B4">
        <w:trPr>
          <w:trHeight w:val="454"/>
          <w:tblHeader/>
          <w:jc w:val="center"/>
        </w:trPr>
        <w:tc>
          <w:tcPr>
            <w:tcW w:w="1846" w:type="pct"/>
            <w:vAlign w:val="center"/>
          </w:tcPr>
          <w:p>
            <w:pPr>
              <w:spacing w:line="240" w:lineRule="atLeast"/>
              <w:jc w:val="center"/>
              <w:rPr>
                <w:b/>
                <w:bCs/>
                <w:sz w:val="21"/>
                <w:szCs w:val="21"/>
              </w:rPr>
            </w:pPr>
            <w:r w:rsidRPr="009A25D8">
              <w:rPr>
                <w:b/>
                <w:bCs/>
                <w:sz w:val="21"/>
                <w:szCs w:val="21"/>
              </w:rPr>
              <w:t xml:space="preserve">类别</w:t>
            </w:r>
          </w:p>
        </w:tc>
        <w:tc>
          <w:tcPr>
            <w:tcW w:w="602" w:type="pct"/>
            <w:vAlign w:val="center"/>
          </w:tcPr>
          <w:p>
            <w:pPr>
              <w:spacing w:line="240" w:lineRule="atLeast"/>
              <w:jc w:val="center"/>
              <w:rPr>
                <w:b/>
                <w:bCs/>
                <w:sz w:val="21"/>
                <w:szCs w:val="21"/>
              </w:rPr>
            </w:pPr>
            <w:r w:rsidRPr="009A25D8">
              <w:rPr>
                <w:b/>
                <w:bCs/>
                <w:sz w:val="21"/>
                <w:szCs w:val="21"/>
              </w:rPr>
              <w:t xml:space="preserve">2019</w:t>
            </w:r>
            <w:r w:rsidRPr="009A25D8">
              <w:rPr>
                <w:b/>
                <w:bCs/>
                <w:sz w:val="21"/>
                <w:szCs w:val="21"/>
              </w:rPr>
              <w:t xml:space="preserve">年</w:t>
            </w:r>
          </w:p>
        </w:tc>
        <w:tc>
          <w:tcPr>
            <w:tcW w:w="592" w:type="pct"/>
            <w:vAlign w:val="center"/>
          </w:tcPr>
          <w:p>
            <w:pPr>
              <w:spacing w:line="240" w:lineRule="atLeast"/>
              <w:jc w:val="center"/>
              <w:rPr>
                <w:b/>
                <w:bCs/>
                <w:sz w:val="21"/>
                <w:szCs w:val="21"/>
              </w:rPr>
            </w:pPr>
            <w:r w:rsidRPr="009A25D8">
              <w:rPr>
                <w:b/>
                <w:bCs/>
                <w:sz w:val="21"/>
                <w:szCs w:val="21"/>
              </w:rPr>
              <w:t xml:space="preserve">2020</w:t>
            </w:r>
            <w:r w:rsidRPr="009A25D8">
              <w:rPr>
                <w:b/>
                <w:bCs/>
                <w:sz w:val="21"/>
                <w:szCs w:val="21"/>
              </w:rPr>
              <w:t xml:space="preserve">年</w:t>
            </w:r>
          </w:p>
        </w:tc>
        <w:tc>
          <w:tcPr>
            <w:tcW w:w="628" w:type="pct"/>
            <w:vAlign w:val="center"/>
          </w:tcPr>
          <w:p>
            <w:pPr>
              <w:spacing w:line="240" w:lineRule="atLeast"/>
              <w:jc w:val="center"/>
              <w:rPr>
                <w:b/>
                <w:bCs/>
                <w:sz w:val="21"/>
                <w:szCs w:val="21"/>
              </w:rPr>
            </w:pPr>
            <w:r w:rsidRPr="009A25D8">
              <w:rPr>
                <w:b/>
                <w:bCs/>
                <w:sz w:val="21"/>
                <w:szCs w:val="21"/>
              </w:rPr>
              <w:t xml:space="preserve">2021</w:t>
            </w:r>
            <w:r w:rsidRPr="009A25D8">
              <w:rPr>
                <w:b/>
                <w:bCs/>
                <w:sz w:val="21"/>
                <w:szCs w:val="21"/>
              </w:rPr>
              <w:t xml:space="preserve">年</w:t>
            </w:r>
          </w:p>
        </w:tc>
        <w:tc>
          <w:tcPr>
            <w:tcW w:w="596" w:type="pct"/>
            <w:vAlign w:val="center"/>
          </w:tcPr>
          <w:p>
            <w:pPr>
              <w:spacing w:line="240" w:lineRule="atLeast"/>
              <w:jc w:val="center"/>
              <w:rPr>
                <w:b/>
                <w:bCs/>
                <w:sz w:val="21"/>
                <w:szCs w:val="21"/>
              </w:rPr>
            </w:pPr>
            <w:r w:rsidRPr="009A25D8">
              <w:rPr>
                <w:b/>
                <w:bCs/>
                <w:sz w:val="21"/>
                <w:szCs w:val="21"/>
              </w:rPr>
              <w:t xml:space="preserve">2022</w:t>
            </w:r>
            <w:r w:rsidRPr="009A25D8">
              <w:rPr>
                <w:b/>
                <w:bCs/>
                <w:sz w:val="21"/>
                <w:szCs w:val="21"/>
              </w:rPr>
              <w:t xml:space="preserve">年</w:t>
            </w:r>
          </w:p>
        </w:tc>
        <w:tc>
          <w:tcPr>
            <w:tcW w:w="735" w:type="pct"/>
            <w:vAlign w:val="center"/>
          </w:tcPr>
          <w:p>
            <w:pPr>
              <w:spacing w:line="240" w:lineRule="atLeast"/>
              <w:jc w:val="center"/>
              <w:rPr>
                <w:b/>
                <w:bCs/>
                <w:sz w:val="21"/>
                <w:szCs w:val="21"/>
              </w:rPr>
            </w:pPr>
            <w:r w:rsidRPr="009A25D8">
              <w:rPr>
                <w:b/>
                <w:bCs/>
                <w:sz w:val="21"/>
                <w:szCs w:val="21"/>
              </w:rPr>
              <w:t xml:space="preserve">2023</w:t>
            </w:r>
            <w:r w:rsidRPr="009A25D8">
              <w:rPr>
                <w:b/>
                <w:bCs/>
                <w:sz w:val="21"/>
                <w:szCs w:val="21"/>
              </w:rPr>
              <w:t xml:space="preserve">年</w:t>
            </w:r>
          </w:p>
        </w:tc>
      </w:tr>
      <w:tr w:rsidTr="00CA20B4">
        <w:trPr>
          <w:trHeight w:val="454"/>
          <w:jc w:val="center"/>
        </w:trPr>
        <w:tc>
          <w:tcPr>
            <w:tcW w:w="1846" w:type="pct"/>
            <w:vAlign w:val="center"/>
          </w:tcPr>
          <w:p>
            <w:pPr>
              <w:spacing w:line="240" w:lineRule="atLeast"/>
              <w:jc w:val="center"/>
              <w:rPr>
                <w:sz w:val="21"/>
                <w:szCs w:val="21"/>
              </w:rPr>
            </w:pPr>
            <w:r w:rsidRPr="009A25D8">
              <w:rPr>
                <w:sz w:val="21"/>
                <w:szCs w:val="21"/>
              </w:rPr>
              <w:t xml:space="preserve">全区实现地区生产总值（亿元）</w:t>
            </w:r>
          </w:p>
        </w:tc>
        <w:tc>
          <w:tcPr>
            <w:tcW w:w="602" w:type="pct"/>
            <w:vAlign w:val="center"/>
          </w:tcPr>
          <w:p>
            <w:pPr>
              <w:spacing w:line="240" w:lineRule="atLeast"/>
              <w:jc w:val="center"/>
              <w:rPr>
                <w:sz w:val="21"/>
                <w:szCs w:val="21"/>
              </w:rPr>
            </w:pPr>
            <w:r w:rsidRPr="009A25D8">
              <w:rPr>
                <w:sz w:val="21"/>
                <w:szCs w:val="21"/>
              </w:rPr>
              <w:t xml:space="preserve">1958.16</w:t>
            </w:r>
          </w:p>
        </w:tc>
        <w:tc>
          <w:tcPr>
            <w:tcW w:w="592" w:type="pct"/>
            <w:vAlign w:val="center"/>
          </w:tcPr>
          <w:p>
            <w:pPr>
              <w:spacing w:line="240" w:lineRule="atLeast"/>
              <w:jc w:val="center"/>
              <w:rPr>
                <w:sz w:val="21"/>
                <w:szCs w:val="21"/>
              </w:rPr>
            </w:pPr>
            <w:r w:rsidRPr="009A25D8">
              <w:rPr>
                <w:sz w:val="21"/>
                <w:szCs w:val="21"/>
              </w:rPr>
              <w:t xml:space="preserve">2002.83</w:t>
            </w:r>
          </w:p>
        </w:tc>
        <w:tc>
          <w:tcPr>
            <w:tcW w:w="628" w:type="pct"/>
            <w:vAlign w:val="center"/>
          </w:tcPr>
          <w:p>
            <w:pPr>
              <w:spacing w:line="240" w:lineRule="atLeast"/>
              <w:jc w:val="center"/>
              <w:rPr>
                <w:sz w:val="21"/>
                <w:szCs w:val="21"/>
              </w:rPr>
            </w:pPr>
            <w:r w:rsidRPr="009A25D8">
              <w:rPr>
                <w:sz w:val="21"/>
                <w:szCs w:val="21"/>
              </w:rPr>
              <w:t xml:space="preserve">2224.53</w:t>
            </w:r>
          </w:p>
        </w:tc>
        <w:tc>
          <w:tcPr>
            <w:tcW w:w="596" w:type="pct"/>
            <w:vAlign w:val="center"/>
          </w:tcPr>
          <w:p>
            <w:pPr>
              <w:spacing w:line="240" w:lineRule="atLeast"/>
              <w:jc w:val="center"/>
              <w:rPr>
                <w:sz w:val="21"/>
                <w:szCs w:val="21"/>
              </w:rPr>
            </w:pPr>
            <w:r w:rsidRPr="009A25D8">
              <w:rPr>
                <w:sz w:val="21"/>
                <w:szCs w:val="21"/>
              </w:rPr>
              <w:t xml:space="preserve">2331.97</w:t>
            </w:r>
          </w:p>
        </w:tc>
        <w:tc>
          <w:tcPr>
            <w:tcW w:w="735" w:type="pct"/>
            <w:vAlign w:val="center"/>
          </w:tcPr>
          <w:p>
            <w:pPr>
              <w:spacing w:line="240" w:lineRule="atLeast"/>
              <w:jc w:val="center"/>
              <w:rPr>
                <w:sz w:val="21"/>
                <w:szCs w:val="21"/>
              </w:rPr>
            </w:pPr>
            <w:r w:rsidRPr="009A25D8">
              <w:rPr>
                <w:sz w:val="21"/>
                <w:szCs w:val="21"/>
              </w:rPr>
              <w:t xml:space="preserve">2377.28</w:t>
            </w:r>
          </w:p>
        </w:tc>
      </w:tr>
      <w:tr w:rsidTr="00CA20B4">
        <w:trPr>
          <w:trHeight w:val="454"/>
          <w:jc w:val="center"/>
        </w:trPr>
        <w:tc>
          <w:tcPr>
            <w:tcW w:w="1846" w:type="pct"/>
            <w:vAlign w:val="center"/>
          </w:tcPr>
          <w:p>
            <w:pPr>
              <w:spacing w:line="240" w:lineRule="atLeast"/>
              <w:jc w:val="center"/>
              <w:rPr>
                <w:sz w:val="21"/>
                <w:szCs w:val="21"/>
              </w:rPr>
            </w:pPr>
            <w:r w:rsidRPr="009A25D8">
              <w:rPr>
                <w:sz w:val="21"/>
                <w:szCs w:val="21"/>
              </w:rPr>
              <w:t xml:space="preserve">比上年同期增长率（</w:t>
            </w:r>
            <w:r w:rsidRPr="009A25D8">
              <w:rPr>
                <w:sz w:val="21"/>
                <w:szCs w:val="21"/>
              </w:rPr>
              <w:t xml:space="preserve">%</w:t>
            </w:r>
            <w:r w:rsidRPr="009A25D8">
              <w:rPr>
                <w:sz w:val="21"/>
                <w:szCs w:val="21"/>
              </w:rPr>
              <w:t xml:space="preserve">）</w:t>
            </w:r>
          </w:p>
        </w:tc>
        <w:tc>
          <w:tcPr>
            <w:tcW w:w="602" w:type="pct"/>
            <w:vAlign w:val="center"/>
          </w:tcPr>
          <w:p>
            <w:pPr>
              <w:jc w:val="center"/>
              <w:rPr>
                <w:sz w:val="21"/>
                <w:szCs w:val="21"/>
              </w:rPr>
            </w:pPr>
            <w:r w:rsidRPr="009A25D8">
              <w:rPr>
                <w:sz w:val="21"/>
                <w:szCs w:val="21"/>
              </w:rPr>
              <w:t xml:space="preserve">5.7%</w:t>
            </w:r>
          </w:p>
        </w:tc>
        <w:tc>
          <w:tcPr>
            <w:tcW w:w="592" w:type="pct"/>
            <w:vAlign w:val="center"/>
          </w:tcPr>
          <w:p>
            <w:pPr>
              <w:jc w:val="center"/>
              <w:rPr>
                <w:sz w:val="21"/>
                <w:szCs w:val="21"/>
              </w:rPr>
            </w:pPr>
            <w:r w:rsidRPr="009A25D8">
              <w:rPr>
                <w:sz w:val="21"/>
                <w:szCs w:val="21"/>
              </w:rPr>
              <w:t xml:space="preserve">0.6%</w:t>
            </w:r>
          </w:p>
        </w:tc>
        <w:tc>
          <w:tcPr>
            <w:tcW w:w="628" w:type="pct"/>
            <w:vAlign w:val="center"/>
          </w:tcPr>
          <w:p>
            <w:pPr>
              <w:jc w:val="center"/>
              <w:rPr>
                <w:sz w:val="21"/>
                <w:szCs w:val="21"/>
              </w:rPr>
            </w:pPr>
            <w:r w:rsidRPr="009A25D8">
              <w:rPr>
                <w:sz w:val="21"/>
                <w:szCs w:val="21"/>
              </w:rPr>
              <w:t xml:space="preserve">8.0%</w:t>
            </w:r>
          </w:p>
        </w:tc>
        <w:tc>
          <w:tcPr>
            <w:tcW w:w="596" w:type="pct"/>
            <w:vAlign w:val="center"/>
          </w:tcPr>
          <w:p>
            <w:pPr>
              <w:jc w:val="center"/>
              <w:rPr>
                <w:sz w:val="21"/>
                <w:szCs w:val="21"/>
              </w:rPr>
            </w:pPr>
            <w:r w:rsidRPr="009A25D8">
              <w:rPr>
                <w:sz w:val="21"/>
                <w:szCs w:val="21"/>
              </w:rPr>
              <w:t xml:space="preserve">2.3%</w:t>
            </w:r>
          </w:p>
        </w:tc>
        <w:tc>
          <w:tcPr>
            <w:tcW w:w="735" w:type="pct"/>
            <w:vAlign w:val="center"/>
          </w:tcPr>
          <w:p>
            <w:pPr>
              <w:jc w:val="center"/>
              <w:rPr>
                <w:sz w:val="21"/>
                <w:szCs w:val="21"/>
              </w:rPr>
            </w:pPr>
            <w:r w:rsidRPr="009A25D8">
              <w:rPr>
                <w:sz w:val="21"/>
                <w:szCs w:val="21"/>
              </w:rPr>
              <w:t xml:space="preserve">4.2%</w:t>
            </w:r>
          </w:p>
        </w:tc>
      </w:tr>
    </w:tbl>
    <w:p>
      <w:pPr>
        <w:spacing w:line="480" w:lineRule="exact"/>
        <w:ind w:firstLine="480" w:firstLineChars="200"/>
        <w:jc w:val="both"/>
        <w:rPr>
          <w:color w:val="000000" w:themeColor="text1"/>
          <w:kern w:val="2"/>
          <w:sz w:val="24"/>
          <w:szCs w:val="24"/>
        </w:rPr>
      </w:pPr>
      <w:bookmarkStart w:name="_Hlk159245619" w:id="12"/>
      <w:r w:rsidRPr="009A25D8">
        <w:rPr>
          <w:color w:val="000000" w:themeColor="text1"/>
          <w:kern w:val="2"/>
          <w:sz w:val="24"/>
          <w:szCs w:val="24"/>
        </w:rPr>
        <w:t xml:space="preserve">2023</w:t>
      </w:r>
      <w:r w:rsidRPr="009A25D8">
        <w:rPr>
          <w:color w:val="000000" w:themeColor="text1"/>
          <w:kern w:val="2"/>
          <w:sz w:val="24"/>
          <w:szCs w:val="24"/>
        </w:rPr>
        <w:t xml:space="preserve">年，吴江区地区生产总值：分季度看，一季度增长</w:t>
      </w:r>
      <w:r w:rsidRPr="009A25D8">
        <w:rPr>
          <w:color w:val="000000" w:themeColor="text1"/>
          <w:kern w:val="2"/>
          <w:sz w:val="24"/>
          <w:szCs w:val="24"/>
        </w:rPr>
        <w:t xml:space="preserve">0.7%</w:t>
      </w:r>
      <w:r w:rsidRPr="009A25D8">
        <w:rPr>
          <w:color w:val="000000" w:themeColor="text1"/>
          <w:kern w:val="2"/>
          <w:sz w:val="24"/>
          <w:szCs w:val="24"/>
        </w:rPr>
        <w:t xml:space="preserve">，上半年增长</w:t>
      </w:r>
      <w:r w:rsidRPr="009A25D8">
        <w:rPr>
          <w:color w:val="000000" w:themeColor="text1"/>
          <w:kern w:val="2"/>
          <w:sz w:val="24"/>
          <w:szCs w:val="24"/>
        </w:rPr>
        <w:t xml:space="preserve">3.6%</w:t>
      </w:r>
      <w:r w:rsidRPr="009A25D8">
        <w:rPr>
          <w:color w:val="000000" w:themeColor="text1"/>
          <w:kern w:val="2"/>
          <w:sz w:val="24"/>
          <w:szCs w:val="24"/>
        </w:rPr>
        <w:t xml:space="preserve">，前三季度增长</w:t>
      </w:r>
      <w:r w:rsidRPr="009A25D8">
        <w:rPr>
          <w:color w:val="000000" w:themeColor="text1"/>
          <w:kern w:val="2"/>
          <w:sz w:val="24"/>
          <w:szCs w:val="24"/>
        </w:rPr>
        <w:t xml:space="preserve">3.5%</w:t>
      </w:r>
      <w:r w:rsidRPr="009A25D8">
        <w:rPr>
          <w:color w:val="000000" w:themeColor="text1"/>
          <w:kern w:val="2"/>
          <w:sz w:val="24"/>
          <w:szCs w:val="24"/>
        </w:rPr>
        <w:t xml:space="preserve">，全年经济运行总体呈现前低、恢复、趋稳、提升的向好发展态势。分产业看，第一产业增加值</w:t>
      </w:r>
      <w:r w:rsidRPr="009A25D8">
        <w:rPr>
          <w:color w:val="000000" w:themeColor="text1"/>
          <w:kern w:val="2"/>
          <w:sz w:val="24"/>
          <w:szCs w:val="24"/>
        </w:rPr>
        <w:t xml:space="preserve">38.25</w:t>
      </w:r>
      <w:r w:rsidRPr="009A25D8">
        <w:rPr>
          <w:color w:val="000000" w:themeColor="text1"/>
          <w:kern w:val="2"/>
          <w:sz w:val="24"/>
          <w:szCs w:val="24"/>
        </w:rPr>
        <w:t xml:space="preserve">亿元，增长</w:t>
      </w:r>
      <w:r w:rsidRPr="009A25D8">
        <w:rPr>
          <w:color w:val="000000" w:themeColor="text1"/>
          <w:kern w:val="2"/>
          <w:sz w:val="24"/>
          <w:szCs w:val="24"/>
        </w:rPr>
        <w:t xml:space="preserve">3.6%</w:t>
      </w:r>
      <w:r w:rsidRPr="009A25D8">
        <w:rPr>
          <w:color w:val="000000" w:themeColor="text1"/>
          <w:kern w:val="2"/>
          <w:sz w:val="24"/>
          <w:szCs w:val="24"/>
        </w:rPr>
        <w:t xml:space="preserve">；第二产业增加值</w:t>
      </w:r>
      <w:r w:rsidRPr="009A25D8">
        <w:rPr>
          <w:color w:val="000000" w:themeColor="text1"/>
          <w:kern w:val="2"/>
          <w:sz w:val="24"/>
          <w:szCs w:val="24"/>
        </w:rPr>
        <w:t xml:space="preserve">1233.81</w:t>
      </w:r>
      <w:r w:rsidRPr="009A25D8">
        <w:rPr>
          <w:color w:val="000000" w:themeColor="text1"/>
          <w:kern w:val="2"/>
          <w:sz w:val="24"/>
          <w:szCs w:val="24"/>
        </w:rPr>
        <w:t xml:space="preserve">亿元，增长</w:t>
      </w:r>
      <w:r w:rsidRPr="009A25D8">
        <w:rPr>
          <w:color w:val="000000" w:themeColor="text1"/>
          <w:kern w:val="2"/>
          <w:sz w:val="24"/>
          <w:szCs w:val="24"/>
        </w:rPr>
        <w:t xml:space="preserve">3.9%</w:t>
      </w:r>
      <w:r w:rsidRPr="009A25D8">
        <w:rPr>
          <w:color w:val="000000" w:themeColor="text1"/>
          <w:kern w:val="2"/>
          <w:sz w:val="24"/>
          <w:szCs w:val="24"/>
        </w:rPr>
        <w:t xml:space="preserve">；第三产业增加值</w:t>
      </w:r>
      <w:r w:rsidRPr="009A25D8">
        <w:rPr>
          <w:color w:val="000000" w:themeColor="text1"/>
          <w:kern w:val="2"/>
          <w:sz w:val="24"/>
          <w:szCs w:val="24"/>
        </w:rPr>
        <w:t xml:space="preserve">1105.22</w:t>
      </w:r>
      <w:r w:rsidRPr="009A25D8">
        <w:rPr>
          <w:color w:val="000000" w:themeColor="text1"/>
          <w:kern w:val="2"/>
          <w:sz w:val="24"/>
          <w:szCs w:val="24"/>
        </w:rPr>
        <w:t xml:space="preserve">亿元，增长</w:t>
      </w:r>
      <w:r w:rsidRPr="009A25D8">
        <w:rPr>
          <w:color w:val="000000" w:themeColor="text1"/>
          <w:kern w:val="2"/>
          <w:sz w:val="24"/>
          <w:szCs w:val="24"/>
        </w:rPr>
        <w:t xml:space="preserve">4.5%</w:t>
      </w:r>
      <w:r w:rsidRPr="009A25D8">
        <w:rPr>
          <w:color w:val="000000" w:themeColor="text1"/>
          <w:kern w:val="2"/>
          <w:sz w:val="24"/>
          <w:szCs w:val="24"/>
        </w:rPr>
        <w:t xml:space="preserve">。三次产业比为</w:t>
      </w:r>
      <w:r w:rsidRPr="009A25D8">
        <w:rPr>
          <w:color w:val="000000" w:themeColor="text1"/>
          <w:kern w:val="2"/>
          <w:sz w:val="24"/>
          <w:szCs w:val="24"/>
        </w:rPr>
        <w:t xml:space="preserve">1.6</w:t>
      </w:r>
      <w:r w:rsidRPr="009A25D8">
        <w:rPr>
          <w:color w:val="000000" w:themeColor="text1"/>
          <w:kern w:val="2"/>
          <w:sz w:val="24"/>
          <w:szCs w:val="24"/>
        </w:rPr>
        <w:t xml:space="preserve">：</w:t>
      </w:r>
      <w:r w:rsidRPr="009A25D8">
        <w:rPr>
          <w:color w:val="000000" w:themeColor="text1"/>
          <w:kern w:val="2"/>
          <w:sz w:val="24"/>
          <w:szCs w:val="24"/>
        </w:rPr>
        <w:t xml:space="preserve">51.9</w:t>
      </w:r>
      <w:r w:rsidRPr="009A25D8">
        <w:rPr>
          <w:color w:val="000000" w:themeColor="text1"/>
          <w:kern w:val="2"/>
          <w:sz w:val="24"/>
          <w:szCs w:val="24"/>
        </w:rPr>
        <w:t xml:space="preserve">：</w:t>
      </w:r>
      <w:r w:rsidRPr="009A25D8">
        <w:rPr>
          <w:color w:val="000000" w:themeColor="text1"/>
          <w:kern w:val="2"/>
          <w:sz w:val="24"/>
          <w:szCs w:val="24"/>
        </w:rPr>
        <w:t xml:space="preserve">46.5</w:t>
      </w:r>
      <w:r w:rsidRPr="009A25D8">
        <w:rPr>
          <w:color w:val="000000" w:themeColor="text1"/>
          <w:kern w:val="2"/>
          <w:sz w:val="24"/>
          <w:szCs w:val="24"/>
        </w:rPr>
        <w:t xml:space="preserve">，第二产业占比较上年下降</w:t>
      </w:r>
      <w:r w:rsidRPr="009A25D8">
        <w:rPr>
          <w:color w:val="000000" w:themeColor="text1"/>
          <w:kern w:val="2"/>
          <w:sz w:val="24"/>
          <w:szCs w:val="24"/>
        </w:rPr>
        <w:t xml:space="preserve">0.7</w:t>
      </w:r>
      <w:r w:rsidRPr="009A25D8">
        <w:rPr>
          <w:color w:val="000000" w:themeColor="text1"/>
          <w:kern w:val="2"/>
          <w:sz w:val="24"/>
          <w:szCs w:val="24"/>
        </w:rPr>
        <w:t xml:space="preserve">个百分点，第三产业提升</w:t>
      </w:r>
      <w:r w:rsidRPr="009A25D8">
        <w:rPr>
          <w:color w:val="000000" w:themeColor="text1"/>
          <w:kern w:val="2"/>
          <w:sz w:val="24"/>
          <w:szCs w:val="24"/>
        </w:rPr>
        <w:t xml:space="preserve">0.7</w:t>
      </w:r>
      <w:r w:rsidRPr="009A25D8">
        <w:rPr>
          <w:color w:val="000000" w:themeColor="text1"/>
          <w:kern w:val="2"/>
          <w:sz w:val="24"/>
          <w:szCs w:val="24"/>
        </w:rPr>
        <w:t xml:space="preserve">个百分点</w:t>
      </w:r>
      <w:bookmarkEnd w:id="12"/>
      <w:r w:rsidRPr="009A25D8">
        <w:rPr>
          <w:color w:val="000000" w:themeColor="text1"/>
          <w:kern w:val="2"/>
          <w:sz w:val="24"/>
          <w:szCs w:val="24"/>
        </w:rPr>
        <w:t xml:space="preserve">。</w:t>
      </w:r>
    </w:p>
    <w:p>
      <w:pPr>
        <w:spacing w:line="480" w:lineRule="exact"/>
        <w:ind w:firstLine="480" w:firstLineChars="200"/>
        <w:jc w:val="both"/>
        <w:rPr>
          <w:color w:val="000000" w:themeColor="text1"/>
          <w:kern w:val="2"/>
          <w:sz w:val="24"/>
          <w:szCs w:val="24"/>
        </w:rPr>
      </w:pPr>
      <w:r w:rsidRPr="009A25D8">
        <w:rPr>
          <w:color w:val="000000" w:themeColor="text1"/>
          <w:kern w:val="2"/>
          <w:sz w:val="24"/>
          <w:szCs w:val="24"/>
        </w:rPr>
        <w:t xml:space="preserve">1.2</w:t>
      </w:r>
      <w:r w:rsidRPr="009A25D8">
        <w:rPr>
          <w:rFonts w:hint="eastAsia"/>
          <w:color w:val="000000" w:themeColor="text1"/>
          <w:kern w:val="2"/>
          <w:sz w:val="24"/>
          <w:szCs w:val="24"/>
        </w:rPr>
        <w:t xml:space="preserve">吴江区人均可支配收入</w:t>
      </w:r>
    </w:p>
    <w:p>
      <w:pPr>
        <w:adjustRightInd w:val="0"/>
        <w:snapToGrid w:val="0"/>
        <w:spacing w:line="480" w:lineRule="exact"/>
        <w:ind w:firstLine="480" w:firstLineChars="200"/>
        <w:rPr>
          <w:rFonts w:ascii="宋体" w:hAnsi="宋体"/>
          <w:sz w:val="24"/>
          <w:szCs w:val="24"/>
        </w:rPr>
      </w:pPr>
      <w:bookmarkStart w:name="_Hlk159245634" w:id="13"/>
      <w:bookmarkStart w:name="_Hlk38977133" w:id="14"/>
      <w:r w:rsidRPr="009A25D8">
        <w:rPr>
          <w:rFonts w:ascii="宋体" w:hAnsi="宋体"/>
          <w:sz w:val="24"/>
          <w:szCs w:val="24"/>
        </w:rPr>
        <w:t xml:space="preserve">2023年，吴江区全体常住居民人均可支配收入71100元，同比增长4.7%，增速高于苏州大市0.1个百分点，居民收入实现稳定增长。按常住地分，城镇居民人均可支配收入82655元，同比增长4.2%；农村居民人均可支配收入46408元，同比增长6.6%，增速列可比五市区第1，高于苏州大市0.7个百分点。城乡居民人均收入比值1.78，比上年缩小0.04，城乡居民收入比进一步缩小，收入结构不断优化</w:t>
      </w:r>
      <w:bookmarkEnd w:id="13"/>
      <w:r w:rsidRPr="009A25D8">
        <w:rPr>
          <w:rFonts w:ascii="宋体" w:hAnsi="宋体"/>
          <w:sz w:val="24"/>
          <w:szCs w:val="24"/>
        </w:rPr>
        <w:t xml:space="preserve">。</w:t>
      </w:r>
      <w:bookmarkEnd w:id="14"/>
    </w:p>
    <w:p>
      <w:pPr>
        <w:spacing w:line="480" w:lineRule="exact"/>
        <w:ind w:firstLine="480" w:firstLineChars="200"/>
        <w:jc w:val="both"/>
        <w:rPr>
          <w:rFonts w:eastAsia="黑体"/>
          <w:sz w:val="24"/>
        </w:rPr>
      </w:pPr>
      <w:r w:rsidRPr="009A25D8">
        <w:rPr>
          <w:rFonts w:eastAsia="黑体"/>
          <w:sz w:val="24"/>
        </w:rPr>
        <w:t xml:space="preserve">2</w:t>
      </w:r>
      <w:r w:rsidRPr="009A25D8">
        <w:rPr>
          <w:rFonts w:hint="eastAsia" w:eastAsia="黑体"/>
          <w:sz w:val="24"/>
        </w:rPr>
        <w:t xml:space="preserve">、</w:t>
      </w:r>
      <w:r w:rsidRPr="009A25D8">
        <w:rPr>
          <w:rFonts w:eastAsia="黑体"/>
          <w:sz w:val="24"/>
        </w:rPr>
        <w:t xml:space="preserve">吴江区住宅房地产市场</w:t>
      </w:r>
      <w:r w:rsidRPr="009A25D8">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sidRPr="009A25D8">
        <w:rPr>
          <w:rFonts w:ascii="宋体" w:hAnsi="宋体"/>
          <w:sz w:val="24"/>
          <w:szCs w:val="24"/>
        </w:rPr>
        <w:t xml:space="preserve">2023年，吴江区新房成交均价19890元/</w:t>
      </w:r>
      <w:r w:rsidRPr="009A25D8">
        <w:rPr>
          <w:szCs w:val="28"/>
        </w:rPr>
        <w:t xml:space="preserve"> m</w:t>
      </w:r>
      <w:r w:rsidRPr="009A25D8">
        <w:rPr>
          <w:szCs w:val="28"/>
          <w:vertAlign w:val="superscript"/>
        </w:rPr>
        <w:t xml:space="preserve">2</w:t>
      </w:r>
      <w:r w:rsidRPr="009A25D8">
        <w:rPr>
          <w:rFonts w:ascii="宋体" w:hAnsi="宋体"/>
          <w:sz w:val="24"/>
          <w:szCs w:val="24"/>
        </w:rPr>
        <w:t xml:space="preserve">，同比上涨4.88%，吴江区离踏上“2万元/ </w:t>
      </w:r>
      <w:r w:rsidRPr="009A25D8">
        <w:rPr>
          <w:szCs w:val="28"/>
        </w:rPr>
        <w:t xml:space="preserve">m</w:t>
      </w:r>
      <w:r w:rsidRPr="009A25D8">
        <w:rPr>
          <w:szCs w:val="28"/>
          <w:vertAlign w:val="superscript"/>
        </w:rPr>
        <w:t xml:space="preserve">2</w:t>
      </w:r>
      <w:r w:rsidRPr="009A25D8">
        <w:rPr>
          <w:rFonts w:ascii="宋体" w:hAnsi="宋体"/>
          <w:sz w:val="24"/>
          <w:szCs w:val="24"/>
        </w:rPr>
        <w:t xml:space="preserve">”仅一步之遥。但供应与成交两端，吴江区却表现较一般。供应量方面，新建商品住宅供应量约为55.31万</w:t>
      </w:r>
      <w:r w:rsidRPr="009A25D8">
        <w:rPr>
          <w:szCs w:val="28"/>
        </w:rPr>
        <w:t xml:space="preserve">m</w:t>
      </w:r>
      <w:r w:rsidRPr="009A25D8">
        <w:rPr>
          <w:szCs w:val="28"/>
          <w:vertAlign w:val="superscript"/>
        </w:rPr>
        <w:t xml:space="preserve">2</w:t>
      </w:r>
      <w:r w:rsidRPr="009A25D8">
        <w:rPr>
          <w:rFonts w:ascii="宋体" w:hAnsi="宋体"/>
          <w:sz w:val="24"/>
          <w:szCs w:val="24"/>
        </w:rPr>
        <w:t xml:space="preserve">，同比减少约36.88%，仅高于姑</w:t>
      </w:r>
      <w:r w:rsidRPr="009A25D8">
        <w:rPr>
          <w:rFonts w:ascii="宋体" w:hAnsi="宋体"/>
          <w:sz w:val="24"/>
          <w:szCs w:val="24"/>
        </w:rPr>
        <w:t xml:space="preserve">苏区。2023年全年，吴江区只有16个楼盘有取证动作，纯新盘也仅天健泓悦府、华润润樾江南等少数楼盘入市，市场供应端的萎缩导致了吴江区新房的成交量也大幅度下滑。成交量方面，新建商品住宅成交量约为93.78万</w:t>
      </w:r>
      <w:r w:rsidRPr="009A25D8">
        <w:rPr>
          <w:szCs w:val="28"/>
        </w:rPr>
        <w:t xml:space="preserve">m</w:t>
      </w:r>
      <w:r w:rsidRPr="009A25D8">
        <w:rPr>
          <w:szCs w:val="28"/>
          <w:vertAlign w:val="superscript"/>
        </w:rPr>
        <w:t xml:space="preserve">2</w:t>
      </w:r>
      <w:r w:rsidRPr="009A25D8">
        <w:rPr>
          <w:rFonts w:ascii="宋体" w:hAnsi="宋体"/>
          <w:sz w:val="24"/>
          <w:szCs w:val="24"/>
        </w:rPr>
        <w:t xml:space="preserve">，同比减少31.13%，同比减少幅度为全市各区域最高。</w:t>
      </w:r>
    </w:p>
    <w:p>
      <w:pPr>
        <w:spacing w:line="480" w:lineRule="exact"/>
        <w:ind w:firstLine="480" w:firstLineChars="200"/>
        <w:jc w:val="both"/>
        <w:rPr>
          <w:rFonts w:eastAsia="黑体"/>
          <w:sz w:val="24"/>
        </w:rPr>
      </w:pPr>
      <w:r w:rsidRPr="009A25D8">
        <w:rPr>
          <w:rFonts w:eastAsia="黑体"/>
          <w:sz w:val="24"/>
        </w:rPr>
        <w:t xml:space="preserve">3</w:t>
      </w:r>
      <w:r w:rsidRPr="009A25D8">
        <w:rPr>
          <w:rFonts w:hint="eastAsia" w:eastAsia="黑体"/>
          <w:sz w:val="24"/>
        </w:rPr>
        <w:t xml:space="preserve">、</w:t>
      </w:r>
      <w:r w:rsidRPr="009A25D8">
        <w:rPr>
          <w:rFonts w:eastAsia="黑体"/>
          <w:sz w:val="24"/>
        </w:rPr>
        <w:t xml:space="preserve">苏州市房地产调控政策</w:t>
      </w:r>
    </w:p>
    <w:p>
      <w:pPr>
        <w:snapToGrid w:val="0"/>
        <w:spacing w:line="480" w:lineRule="exact"/>
        <w:ind w:firstLine="480" w:firstLineChars="200"/>
        <w:rPr>
          <w:rFonts w:ascii="宋体" w:hAnsi="宋体"/>
          <w:sz w:val="24"/>
          <w:szCs w:val="24"/>
        </w:rPr>
      </w:pPr>
      <w:r w:rsidRPr="009A25D8">
        <w:rPr>
          <w:rFonts w:ascii="宋体" w:hAnsi="宋体"/>
          <w:sz w:val="24"/>
          <w:szCs w:val="24"/>
        </w:rPr>
        <w:t xml:space="preserve">2023年，苏州房地产市场政策频出，政策不断放宽，放松限购、取消二手房限售、降低首付比例、认房不认贷、上调公积金贷款额度、“卖旧买新契税补贴”、“收旧换新”、“房票政策”等一系列新政出台，为市场注入更多活力，减轻了居民按揭压力，扩大了加杠杆空间，助力了购房需求释放。具体政策详见下表：</w:t>
      </w:r>
    </w:p>
    <w:p>
      <w:pPr>
        <w:spacing w:before="156" w:beforeLines="50" w:after="156" w:afterLines="50" w:line="480" w:lineRule="exact"/>
        <w:jc w:val="center"/>
        <w:rPr>
          <w:rFonts w:ascii="宋体" w:hAnsi="宋体"/>
          <w:b/>
          <w:bCs/>
          <w:sz w:val="24"/>
          <w:szCs w:val="24"/>
        </w:rPr>
      </w:pPr>
      <w:r w:rsidRPr="009A25D8">
        <w:rPr>
          <w:rFonts w:ascii="宋体" w:hAnsi="宋体"/>
          <w:b/>
          <w:bCs/>
          <w:sz w:val="24"/>
          <w:szCs w:val="24"/>
        </w:rPr>
        <w:t xml:space="preserve">表</w:t>
      </w:r>
      <w:r>
        <w:rPr>
          <w:rFonts w:ascii="宋体" w:hAnsi="宋体"/>
          <w:b/>
          <w:bCs/>
          <w:sz w:val="24"/>
          <w:szCs w:val="24"/>
        </w:rPr>
        <w:fldChar w:fldCharType="begin"/>
      </w:r>
      <w:r w:rsidRPr="009A25D8">
        <w:rPr>
          <w:rFonts w:ascii="宋体" w:hAnsi="宋体"/>
          <w:b/>
          <w:bCs/>
          <w:sz w:val="24"/>
          <w:szCs w:val="24"/>
        </w:rPr>
        <w:instrText xml:space="preserve"> SEQ 表 \* ARABIC </w:instrText>
      </w:r>
      <w:r>
        <w:rPr>
          <w:rFonts w:ascii="宋体" w:hAnsi="宋体"/>
          <w:b/>
          <w:bCs/>
          <w:sz w:val="24"/>
          <w:szCs w:val="24"/>
        </w:rPr>
        <w:fldChar w:fldCharType="separate"/>
      </w:r>
      <w:r w:rsidRPr="009A25D8">
        <w:rPr>
          <w:rFonts w:ascii="宋体" w:hAnsi="宋体"/>
          <w:b/>
          <w:bCs/>
          <w:sz w:val="24"/>
          <w:szCs w:val="24"/>
        </w:rPr>
        <w:t xml:space="preserve">2</w:t>
      </w:r>
      <w:r>
        <w:rPr>
          <w:rFonts w:ascii="宋体" w:hAnsi="宋体"/>
          <w:b/>
          <w:bCs/>
          <w:sz w:val="24"/>
          <w:szCs w:val="24"/>
        </w:rPr>
        <w:fldChar w:fldCharType="end"/>
      </w:r>
      <w:r w:rsidRPr="009A25D8">
        <w:rPr>
          <w:rFonts w:ascii="宋体" w:hAnsi="宋体"/>
          <w:b/>
          <w:bCs/>
          <w:sz w:val="24"/>
          <w:szCs w:val="24"/>
        </w:rPr>
        <w:t xml:space="preserve">  2023年度苏州市房地产调控政策一览表</w:t>
      </w:r>
    </w:p>
    <w:tbl>
      <w:tblPr>
        <w:tblStyle w:val="TableGrid"/>
        <w:tblW w:w="5000" w:type="pct"/>
        <w:jc w:val="center"/>
        <w:tblLook w:val="04A0" w:firstRow="1" w:lastRow="0" w:firstColumn="1" w:lastColumn="0" w:noHBand="0" w:noVBand="1"/>
      </w:tblPr>
      <w:tblGrid>
        <w:gridCol w:w="846"/>
        <w:gridCol w:w="1332"/>
        <w:gridCol w:w="1333"/>
        <w:gridCol w:w="5011"/>
      </w:tblGrid>
      <w:tr w:rsidTr="00CA20B4">
        <w:trPr>
          <w:trHeight w:val="454"/>
          <w:tblHeader/>
          <w:jc w:val="center"/>
        </w:trPr>
        <w:tc>
          <w:tcPr>
            <w:tcW w:w="496" w:type="pct"/>
            <w:vAlign w:val="center"/>
          </w:tcPr>
          <w:p>
            <w:pPr>
              <w:spacing w:line="360" w:lineRule="exact"/>
              <w:jc w:val="center"/>
              <w:rPr>
                <w:b/>
                <w:bCs/>
                <w:sz w:val="21"/>
                <w:szCs w:val="21"/>
              </w:rPr>
            </w:pPr>
            <w:r w:rsidRPr="009A25D8">
              <w:rPr>
                <w:b/>
                <w:bCs/>
                <w:sz w:val="21"/>
                <w:szCs w:val="21"/>
              </w:rPr>
              <w:t xml:space="preserve">序号</w:t>
            </w:r>
          </w:p>
        </w:tc>
        <w:tc>
          <w:tcPr>
            <w:tcW w:w="782" w:type="pct"/>
            <w:vAlign w:val="center"/>
          </w:tcPr>
          <w:p>
            <w:pPr>
              <w:spacing w:line="360" w:lineRule="exact"/>
              <w:jc w:val="center"/>
              <w:rPr>
                <w:b/>
                <w:bCs/>
                <w:sz w:val="21"/>
                <w:szCs w:val="21"/>
              </w:rPr>
            </w:pPr>
            <w:r w:rsidRPr="009A25D8">
              <w:rPr>
                <w:b/>
                <w:bCs/>
                <w:sz w:val="21"/>
                <w:szCs w:val="21"/>
              </w:rPr>
              <w:t xml:space="preserve">出台时间</w:t>
            </w:r>
          </w:p>
        </w:tc>
        <w:tc>
          <w:tcPr>
            <w:tcW w:w="782" w:type="pct"/>
            <w:vAlign w:val="center"/>
          </w:tcPr>
          <w:p>
            <w:pPr>
              <w:spacing w:line="360" w:lineRule="exact"/>
              <w:jc w:val="center"/>
              <w:rPr>
                <w:b/>
                <w:bCs/>
                <w:sz w:val="21"/>
                <w:szCs w:val="21"/>
              </w:rPr>
            </w:pPr>
            <w:r w:rsidRPr="009A25D8">
              <w:rPr>
                <w:b/>
                <w:bCs/>
                <w:sz w:val="21"/>
                <w:szCs w:val="21"/>
              </w:rPr>
              <w:t xml:space="preserve">调控政策</w:t>
            </w:r>
          </w:p>
        </w:tc>
        <w:tc>
          <w:tcPr>
            <w:tcW w:w="2941" w:type="pct"/>
            <w:vAlign w:val="center"/>
          </w:tcPr>
          <w:p>
            <w:pPr>
              <w:spacing w:line="360" w:lineRule="exact"/>
              <w:jc w:val="center"/>
              <w:rPr>
                <w:b/>
                <w:bCs/>
                <w:sz w:val="21"/>
                <w:szCs w:val="21"/>
              </w:rPr>
            </w:pPr>
            <w:r w:rsidRPr="009A25D8">
              <w:rPr>
                <w:b/>
                <w:bCs/>
                <w:sz w:val="21"/>
                <w:szCs w:val="21"/>
              </w:rPr>
              <w:t xml:space="preserve">具体内容</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2</w:t>
            </w:r>
            <w:r w:rsidRPr="009A25D8">
              <w:rPr>
                <w:sz w:val="21"/>
                <w:szCs w:val="21"/>
              </w:rPr>
              <w:t xml:space="preserve">月</w:t>
            </w:r>
            <w:r w:rsidRPr="009A25D8">
              <w:rPr>
                <w:sz w:val="21"/>
                <w:szCs w:val="21"/>
              </w:rPr>
              <w:t xml:space="preserve">19</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积分落户、分值调整</w:t>
            </w:r>
          </w:p>
        </w:tc>
        <w:tc>
          <w:tcPr>
            <w:tcW w:w="2941" w:type="pct"/>
            <w:vAlign w:val="center"/>
          </w:tcPr>
          <w:p>
            <w:pPr>
              <w:spacing w:line="360" w:lineRule="exact"/>
              <w:rPr>
                <w:sz w:val="21"/>
                <w:szCs w:val="21"/>
              </w:rPr>
            </w:pPr>
            <w:r w:rsidRPr="009A25D8">
              <w:rPr>
                <w:sz w:val="21"/>
                <w:szCs w:val="21"/>
              </w:rPr>
              <w:t xml:space="preserve">苏州六区总积分降至</w:t>
            </w:r>
            <w:r w:rsidRPr="009A25D8">
              <w:rPr>
                <w:sz w:val="21"/>
                <w:szCs w:val="21"/>
              </w:rPr>
              <w:t xml:space="preserve">400</w:t>
            </w:r>
            <w:r w:rsidRPr="009A25D8">
              <w:rPr>
                <w:sz w:val="21"/>
                <w:szCs w:val="21"/>
              </w:rPr>
              <w:t xml:space="preserve">分，</w:t>
            </w:r>
            <w:r w:rsidRPr="009A25D8">
              <w:rPr>
                <w:sz w:val="21"/>
                <w:szCs w:val="21"/>
              </w:rPr>
              <w:t xml:space="preserve">4</w:t>
            </w:r>
            <w:r w:rsidRPr="009A25D8">
              <w:rPr>
                <w:sz w:val="21"/>
                <w:szCs w:val="21"/>
              </w:rPr>
              <w:t xml:space="preserve">月</w:t>
            </w:r>
            <w:r w:rsidRPr="009A25D8">
              <w:rPr>
                <w:sz w:val="21"/>
                <w:szCs w:val="21"/>
              </w:rPr>
              <w:t xml:space="preserve">1</w:t>
            </w:r>
            <w:r w:rsidRPr="009A25D8">
              <w:rPr>
                <w:sz w:val="21"/>
                <w:szCs w:val="21"/>
              </w:rPr>
              <w:t xml:space="preserve">日开始执行</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2</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2</w:t>
            </w:r>
            <w:r w:rsidRPr="009A25D8">
              <w:rPr>
                <w:sz w:val="21"/>
                <w:szCs w:val="21"/>
              </w:rPr>
              <w:t xml:space="preserve">月</w:t>
            </w:r>
            <w:r w:rsidRPr="009A25D8">
              <w:rPr>
                <w:sz w:val="21"/>
                <w:szCs w:val="21"/>
              </w:rPr>
              <w:t xml:space="preserve">22</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四县市房迁落户政策</w:t>
            </w:r>
          </w:p>
        </w:tc>
        <w:tc>
          <w:tcPr>
            <w:tcW w:w="2941" w:type="pct"/>
            <w:vAlign w:val="center"/>
          </w:tcPr>
          <w:p>
            <w:pPr>
              <w:spacing w:line="360" w:lineRule="exact"/>
              <w:rPr>
                <w:sz w:val="21"/>
                <w:szCs w:val="21"/>
              </w:rPr>
            </w:pPr>
            <w:r w:rsidRPr="009A25D8">
              <w:rPr>
                <w:sz w:val="21"/>
                <w:szCs w:val="21"/>
              </w:rPr>
              <w:t xml:space="preserve">苏州四县市房迁落户，租房可以落户，</w:t>
            </w:r>
            <w:r w:rsidRPr="009A25D8">
              <w:rPr>
                <w:sz w:val="21"/>
                <w:szCs w:val="21"/>
              </w:rPr>
              <w:t xml:space="preserve">4</w:t>
            </w:r>
            <w:r w:rsidRPr="009A25D8">
              <w:rPr>
                <w:sz w:val="21"/>
                <w:szCs w:val="21"/>
              </w:rPr>
              <w:t xml:space="preserve">月</w:t>
            </w:r>
            <w:r w:rsidRPr="009A25D8">
              <w:rPr>
                <w:sz w:val="21"/>
                <w:szCs w:val="21"/>
              </w:rPr>
              <w:t xml:space="preserve">1</w:t>
            </w:r>
            <w:r w:rsidRPr="009A25D8">
              <w:rPr>
                <w:sz w:val="21"/>
                <w:szCs w:val="21"/>
              </w:rPr>
              <w:t xml:space="preserve">日开始执行</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3</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4</w:t>
            </w:r>
            <w:r w:rsidRPr="009A25D8">
              <w:rPr>
                <w:sz w:val="21"/>
                <w:szCs w:val="21"/>
              </w:rPr>
              <w:t xml:space="preserve">月</w:t>
            </w:r>
            <w:r w:rsidRPr="009A25D8">
              <w:rPr>
                <w:sz w:val="21"/>
                <w:szCs w:val="21"/>
              </w:rPr>
              <w:t xml:space="preserve">28</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限购调整</w:t>
            </w:r>
          </w:p>
        </w:tc>
        <w:tc>
          <w:tcPr>
            <w:tcW w:w="2941" w:type="pct"/>
            <w:vAlign w:val="center"/>
          </w:tcPr>
          <w:p>
            <w:pPr>
              <w:spacing w:line="360" w:lineRule="exact"/>
              <w:rPr>
                <w:sz w:val="21"/>
                <w:szCs w:val="21"/>
              </w:rPr>
            </w:pPr>
            <w:r w:rsidRPr="009A25D8">
              <w:rPr>
                <w:sz w:val="21"/>
                <w:szCs w:val="21"/>
              </w:rPr>
              <w:t xml:space="preserve">相城区、吴中区、高新区除狮山及横塘外区域外地人购买首套房个税减少为连续</w:t>
            </w:r>
            <w:r w:rsidRPr="009A25D8">
              <w:rPr>
                <w:sz w:val="21"/>
                <w:szCs w:val="21"/>
              </w:rPr>
              <w:t xml:space="preserve">3</w:t>
            </w:r>
            <w:r w:rsidRPr="009A25D8">
              <w:rPr>
                <w:sz w:val="21"/>
                <w:szCs w:val="21"/>
              </w:rPr>
              <w:t xml:space="preserve">个月</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4</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5</w:t>
            </w:r>
            <w:r w:rsidRPr="009A25D8">
              <w:rPr>
                <w:sz w:val="21"/>
                <w:szCs w:val="21"/>
              </w:rPr>
              <w:t xml:space="preserve">月</w:t>
            </w:r>
            <w:r w:rsidRPr="009A25D8">
              <w:rPr>
                <w:sz w:val="21"/>
                <w:szCs w:val="21"/>
              </w:rPr>
              <w:t xml:space="preserve">1</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公积金贷款调整</w:t>
            </w:r>
          </w:p>
        </w:tc>
        <w:tc>
          <w:tcPr>
            <w:tcW w:w="2941" w:type="pct"/>
            <w:vAlign w:val="center"/>
          </w:tcPr>
          <w:p>
            <w:pPr>
              <w:spacing w:line="360" w:lineRule="exact"/>
              <w:rPr>
                <w:sz w:val="21"/>
                <w:szCs w:val="21"/>
              </w:rPr>
            </w:pPr>
            <w:r w:rsidRPr="009A25D8">
              <w:rPr>
                <w:sz w:val="21"/>
                <w:szCs w:val="21"/>
              </w:rPr>
              <w:t xml:space="preserve">公积金贷款首次使用上限提升到</w:t>
            </w:r>
            <w:r w:rsidRPr="009A25D8">
              <w:rPr>
                <w:sz w:val="21"/>
                <w:szCs w:val="21"/>
              </w:rPr>
              <w:t xml:space="preserve">15</w:t>
            </w:r>
            <w:r w:rsidRPr="009A25D8">
              <w:rPr>
                <w:sz w:val="21"/>
                <w:szCs w:val="21"/>
              </w:rPr>
              <w:t xml:space="preserve">倍，二次使用提升到</w:t>
            </w:r>
            <w:r w:rsidRPr="009A25D8">
              <w:rPr>
                <w:sz w:val="21"/>
                <w:szCs w:val="21"/>
              </w:rPr>
              <w:t xml:space="preserve">10</w:t>
            </w:r>
            <w:r w:rsidRPr="009A25D8">
              <w:rPr>
                <w:sz w:val="21"/>
                <w:szCs w:val="21"/>
              </w:rPr>
              <w:t xml:space="preserve">倍，有两个及以上未成年子女上限上浮</w:t>
            </w:r>
            <w:r w:rsidRPr="009A25D8">
              <w:rPr>
                <w:sz w:val="21"/>
                <w:szCs w:val="21"/>
              </w:rPr>
              <w:t xml:space="preserve">30%</w:t>
            </w:r>
            <w:r w:rsidRPr="009A25D8">
              <w:rPr>
                <w:sz w:val="21"/>
                <w:szCs w:val="21"/>
              </w:rPr>
              <w:t xml:space="preserve">，最高</w:t>
            </w:r>
            <w:r w:rsidRPr="009A25D8">
              <w:rPr>
                <w:sz w:val="21"/>
                <w:szCs w:val="21"/>
              </w:rPr>
              <w:t xml:space="preserve">117</w:t>
            </w:r>
            <w:r w:rsidRPr="009A25D8">
              <w:rPr>
                <w:sz w:val="21"/>
                <w:szCs w:val="21"/>
              </w:rPr>
              <w:t xml:space="preserve">万，除园区外，市区开启</w:t>
            </w:r>
            <w:r w:rsidRPr="009A25D8">
              <w:rPr>
                <w:sz w:val="21"/>
                <w:szCs w:val="21"/>
              </w:rPr>
              <w:t xml:space="preserve">“</w:t>
            </w:r>
            <w:r w:rsidRPr="009A25D8">
              <w:rPr>
                <w:sz w:val="21"/>
                <w:szCs w:val="21"/>
              </w:rPr>
              <w:t xml:space="preserve">商转公</w:t>
            </w:r>
            <w:r w:rsidRPr="009A25D8">
              <w:rPr>
                <w:sz w:val="21"/>
                <w:szCs w:val="21"/>
              </w:rPr>
              <w:t xml:space="preserve">”</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5</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5</w:t>
            </w:r>
            <w:r w:rsidRPr="009A25D8">
              <w:rPr>
                <w:sz w:val="21"/>
                <w:szCs w:val="21"/>
              </w:rPr>
              <w:t xml:space="preserve">月</w:t>
            </w:r>
            <w:r w:rsidRPr="009A25D8">
              <w:rPr>
                <w:sz w:val="21"/>
                <w:szCs w:val="21"/>
              </w:rPr>
              <w:t xml:space="preserve">20</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契税补贴</w:t>
            </w:r>
          </w:p>
        </w:tc>
        <w:tc>
          <w:tcPr>
            <w:tcW w:w="2941" w:type="pct"/>
            <w:vAlign w:val="center"/>
          </w:tcPr>
          <w:p>
            <w:pPr>
              <w:spacing w:line="360" w:lineRule="exact"/>
              <w:rPr>
                <w:sz w:val="21"/>
                <w:szCs w:val="21"/>
              </w:rPr>
            </w:pPr>
            <w:r w:rsidRPr="009A25D8">
              <w:rPr>
                <w:sz w:val="21"/>
                <w:szCs w:val="21"/>
              </w:rPr>
              <w:t xml:space="preserve">高新区、吴中区、相城区、吴江区、张家港市、太仓市等，出台契税补贴，符合条件购房补贴</w:t>
            </w:r>
            <w:r w:rsidRPr="009A25D8">
              <w:rPr>
                <w:sz w:val="21"/>
                <w:szCs w:val="21"/>
              </w:rPr>
              <w:t xml:space="preserve">50%</w:t>
            </w:r>
            <w:r w:rsidRPr="009A25D8">
              <w:rPr>
                <w:sz w:val="21"/>
                <w:szCs w:val="21"/>
              </w:rPr>
              <w:t xml:space="preserve">契税</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6</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6</w:t>
            </w:r>
            <w:r w:rsidRPr="009A25D8">
              <w:rPr>
                <w:sz w:val="21"/>
                <w:szCs w:val="21"/>
              </w:rPr>
              <w:t xml:space="preserve">月</w:t>
            </w:r>
            <w:r w:rsidRPr="009A25D8">
              <w:rPr>
                <w:sz w:val="21"/>
                <w:szCs w:val="21"/>
              </w:rPr>
              <w:t xml:space="preserve">1</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公积金贷款调整</w:t>
            </w:r>
          </w:p>
        </w:tc>
        <w:tc>
          <w:tcPr>
            <w:tcW w:w="2941" w:type="pct"/>
            <w:vAlign w:val="center"/>
          </w:tcPr>
          <w:p>
            <w:pPr>
              <w:spacing w:line="360" w:lineRule="exact"/>
              <w:rPr>
                <w:sz w:val="21"/>
                <w:szCs w:val="21"/>
              </w:rPr>
            </w:pPr>
            <w:r w:rsidRPr="009A25D8">
              <w:rPr>
                <w:sz w:val="21"/>
                <w:szCs w:val="21"/>
              </w:rPr>
              <w:t xml:space="preserve">购房可提取公积金作为首付</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7</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6</w:t>
            </w:r>
            <w:r w:rsidRPr="009A25D8">
              <w:rPr>
                <w:sz w:val="21"/>
                <w:szCs w:val="21"/>
              </w:rPr>
              <w:t xml:space="preserve">月</w:t>
            </w:r>
            <w:r w:rsidRPr="009A25D8">
              <w:rPr>
                <w:sz w:val="21"/>
                <w:szCs w:val="21"/>
              </w:rPr>
              <w:t xml:space="preserve">6</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园区商转公</w:t>
            </w:r>
          </w:p>
        </w:tc>
        <w:tc>
          <w:tcPr>
            <w:tcW w:w="2941" w:type="pct"/>
            <w:vAlign w:val="center"/>
          </w:tcPr>
          <w:p>
            <w:pPr>
              <w:spacing w:line="360" w:lineRule="exact"/>
              <w:rPr>
                <w:sz w:val="21"/>
                <w:szCs w:val="21"/>
              </w:rPr>
            </w:pPr>
            <w:r w:rsidRPr="009A25D8">
              <w:rPr>
                <w:sz w:val="21"/>
                <w:szCs w:val="21"/>
              </w:rPr>
              <w:t xml:space="preserve">园区商业贷款也可转为公积金贷款，与苏州全市同步</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8</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6</w:t>
            </w:r>
            <w:r w:rsidRPr="009A25D8">
              <w:rPr>
                <w:sz w:val="21"/>
                <w:szCs w:val="21"/>
              </w:rPr>
              <w:t xml:space="preserve">月</w:t>
            </w:r>
            <w:r w:rsidRPr="009A25D8">
              <w:rPr>
                <w:sz w:val="21"/>
                <w:szCs w:val="21"/>
              </w:rPr>
              <w:t xml:space="preserve">20</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LPR</w:t>
            </w:r>
            <w:r w:rsidRPr="009A25D8">
              <w:rPr>
                <w:sz w:val="21"/>
                <w:szCs w:val="21"/>
              </w:rPr>
              <w:t xml:space="preserve">调整</w:t>
            </w:r>
          </w:p>
        </w:tc>
        <w:tc>
          <w:tcPr>
            <w:tcW w:w="2941" w:type="pct"/>
            <w:vAlign w:val="center"/>
          </w:tcPr>
          <w:p>
            <w:pPr>
              <w:spacing w:line="360" w:lineRule="exact"/>
              <w:rPr>
                <w:sz w:val="21"/>
                <w:szCs w:val="21"/>
              </w:rPr>
            </w:pPr>
            <w:r w:rsidRPr="009A25D8">
              <w:rPr>
                <w:sz w:val="21"/>
                <w:szCs w:val="21"/>
              </w:rPr>
              <w:t xml:space="preserve">LPR</w:t>
            </w:r>
            <w:r w:rsidRPr="009A25D8">
              <w:rPr>
                <w:sz w:val="21"/>
                <w:szCs w:val="21"/>
              </w:rPr>
              <w:t xml:space="preserve">降低</w:t>
            </w:r>
            <w:r w:rsidRPr="009A25D8">
              <w:rPr>
                <w:sz w:val="21"/>
                <w:szCs w:val="21"/>
              </w:rPr>
              <w:t xml:space="preserve">10BP</w:t>
            </w:r>
            <w:r w:rsidRPr="009A25D8">
              <w:rPr>
                <w:sz w:val="21"/>
                <w:szCs w:val="21"/>
              </w:rPr>
              <w:t xml:space="preserve">，苏州首套房贷利率由</w:t>
            </w:r>
            <w:r w:rsidRPr="009A25D8">
              <w:rPr>
                <w:sz w:val="21"/>
                <w:szCs w:val="21"/>
              </w:rPr>
              <w:t xml:space="preserve">4.1%</w:t>
            </w:r>
            <w:r w:rsidRPr="009A25D8">
              <w:rPr>
                <w:sz w:val="21"/>
                <w:szCs w:val="21"/>
              </w:rPr>
              <w:t xml:space="preserve">降至</w:t>
            </w:r>
            <w:r w:rsidRPr="009A25D8">
              <w:rPr>
                <w:sz w:val="21"/>
                <w:szCs w:val="21"/>
              </w:rPr>
              <w:t xml:space="preserve">4%</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9</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9</w:t>
            </w:r>
            <w:r w:rsidRPr="009A25D8">
              <w:rPr>
                <w:sz w:val="21"/>
                <w:szCs w:val="21"/>
              </w:rPr>
              <w:t xml:space="preserve">月</w:t>
            </w:r>
            <w:r w:rsidRPr="009A25D8">
              <w:rPr>
                <w:sz w:val="21"/>
                <w:szCs w:val="21"/>
              </w:rPr>
              <w:t xml:space="preserve">2</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执行认房不认贷</w:t>
            </w:r>
          </w:p>
        </w:tc>
        <w:tc>
          <w:tcPr>
            <w:tcW w:w="2941" w:type="pct"/>
            <w:vAlign w:val="center"/>
          </w:tcPr>
          <w:p>
            <w:pPr>
              <w:spacing w:line="360" w:lineRule="exact"/>
              <w:rPr>
                <w:sz w:val="21"/>
                <w:szCs w:val="21"/>
              </w:rPr>
            </w:pPr>
            <w:r w:rsidRPr="009A25D8">
              <w:rPr>
                <w:sz w:val="21"/>
                <w:szCs w:val="21"/>
              </w:rPr>
              <w:t xml:space="preserve">家庭成员在苏州市名下无成套住房的，不论是否已利用贷款购买过住房，均按首套房执行信贷政策</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10</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9</w:t>
            </w:r>
            <w:r w:rsidRPr="009A25D8">
              <w:rPr>
                <w:sz w:val="21"/>
                <w:szCs w:val="21"/>
              </w:rPr>
              <w:t xml:space="preserve">月</w:t>
            </w:r>
            <w:r w:rsidRPr="009A25D8">
              <w:rPr>
                <w:sz w:val="21"/>
                <w:szCs w:val="21"/>
              </w:rPr>
              <w:t xml:space="preserve">8</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限购放松</w:t>
            </w:r>
          </w:p>
        </w:tc>
        <w:tc>
          <w:tcPr>
            <w:tcW w:w="2941" w:type="pct"/>
            <w:vAlign w:val="center"/>
          </w:tcPr>
          <w:p>
            <w:pPr>
              <w:spacing w:line="360" w:lineRule="exact"/>
              <w:rPr>
                <w:sz w:val="21"/>
                <w:szCs w:val="21"/>
              </w:rPr>
            </w:pPr>
            <w:r w:rsidRPr="009A25D8">
              <w:rPr>
                <w:sz w:val="21"/>
                <w:szCs w:val="21"/>
              </w:rPr>
              <w:t xml:space="preserve">取消外地户籍购房限制，</w:t>
            </w:r>
            <w:r w:rsidRPr="009A25D8">
              <w:rPr>
                <w:sz w:val="21"/>
                <w:szCs w:val="21"/>
              </w:rPr>
              <w:t xml:space="preserve">120m</w:t>
            </w:r>
            <w:r w:rsidRPr="009A25D8">
              <w:rPr>
                <w:sz w:val="21"/>
                <w:szCs w:val="21"/>
                <w:vertAlign w:val="superscript"/>
              </w:rPr>
              <w:t xml:space="preserve">2</w:t>
            </w:r>
            <w:r w:rsidRPr="009A25D8">
              <w:rPr>
                <w:sz w:val="21"/>
                <w:szCs w:val="21"/>
              </w:rPr>
              <w:t xml:space="preserve">以内限购</w:t>
            </w:r>
            <w:r w:rsidRPr="009A25D8">
              <w:rPr>
                <w:sz w:val="21"/>
                <w:szCs w:val="21"/>
              </w:rPr>
              <w:t xml:space="preserve">3</w:t>
            </w:r>
            <w:r w:rsidRPr="009A25D8">
              <w:rPr>
                <w:sz w:val="21"/>
                <w:szCs w:val="21"/>
              </w:rPr>
              <w:t xml:space="preserve">套、</w:t>
            </w:r>
            <w:r w:rsidRPr="009A25D8">
              <w:rPr>
                <w:sz w:val="21"/>
                <w:szCs w:val="21"/>
              </w:rPr>
              <w:t xml:space="preserve">120m</w:t>
            </w:r>
            <w:r w:rsidRPr="009A25D8">
              <w:rPr>
                <w:sz w:val="21"/>
                <w:szCs w:val="21"/>
                <w:vertAlign w:val="superscript"/>
              </w:rPr>
              <w:t xml:space="preserve">2</w:t>
            </w:r>
            <w:r w:rsidRPr="009A25D8">
              <w:rPr>
                <w:sz w:val="21"/>
                <w:szCs w:val="21"/>
              </w:rPr>
              <w:t xml:space="preserve">及以上不限套数，落实降低首套房、</w:t>
            </w:r>
            <w:r w:rsidRPr="009A25D8">
              <w:rPr>
                <w:sz w:val="21"/>
                <w:szCs w:val="21"/>
              </w:rPr>
              <w:t xml:space="preserve">2</w:t>
            </w:r>
            <w:r w:rsidRPr="009A25D8">
              <w:rPr>
                <w:sz w:val="21"/>
                <w:szCs w:val="21"/>
              </w:rPr>
              <w:t xml:space="preserve">套房执行首付比例和贷款利率</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11</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9</w:t>
            </w:r>
            <w:r w:rsidRPr="009A25D8">
              <w:rPr>
                <w:sz w:val="21"/>
                <w:szCs w:val="21"/>
              </w:rPr>
              <w:t xml:space="preserve">月</w:t>
            </w:r>
            <w:r w:rsidRPr="009A25D8">
              <w:rPr>
                <w:sz w:val="21"/>
                <w:szCs w:val="21"/>
              </w:rPr>
              <w:t xml:space="preserve">12</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贷款政策调</w:t>
            </w:r>
            <w:r w:rsidRPr="009A25D8">
              <w:rPr>
                <w:sz w:val="21"/>
                <w:szCs w:val="21"/>
              </w:rPr>
              <w:t xml:space="preserve">整</w:t>
            </w:r>
          </w:p>
        </w:tc>
        <w:tc>
          <w:tcPr>
            <w:tcW w:w="2941" w:type="pct"/>
            <w:vAlign w:val="center"/>
          </w:tcPr>
          <w:p>
            <w:pPr>
              <w:spacing w:line="360" w:lineRule="exact"/>
              <w:rPr>
                <w:sz w:val="21"/>
                <w:szCs w:val="21"/>
              </w:rPr>
            </w:pPr>
            <w:r w:rsidRPr="009A25D8">
              <w:rPr>
                <w:sz w:val="21"/>
                <w:szCs w:val="21"/>
              </w:rPr>
              <w:t xml:space="preserve">首套房及二套房无贷款或贷款结清首付比例从</w:t>
            </w:r>
            <w:r w:rsidRPr="009A25D8">
              <w:rPr>
                <w:sz w:val="21"/>
                <w:szCs w:val="21"/>
              </w:rPr>
              <w:t xml:space="preserve">3</w:t>
            </w:r>
            <w:r w:rsidRPr="009A25D8">
              <w:rPr>
                <w:sz w:val="21"/>
                <w:szCs w:val="21"/>
              </w:rPr>
              <w:t xml:space="preserve">成下</w:t>
            </w:r>
            <w:r w:rsidRPr="009A25D8">
              <w:rPr>
                <w:sz w:val="21"/>
                <w:szCs w:val="21"/>
              </w:rPr>
              <w:t xml:space="preserve">降为</w:t>
            </w:r>
            <w:r w:rsidRPr="009A25D8">
              <w:rPr>
                <w:sz w:val="21"/>
                <w:szCs w:val="21"/>
              </w:rPr>
              <w:t xml:space="preserve">2</w:t>
            </w:r>
            <w:r w:rsidRPr="009A25D8">
              <w:rPr>
                <w:sz w:val="21"/>
                <w:szCs w:val="21"/>
              </w:rPr>
              <w:t xml:space="preserve">成，二套房未结清的为</w:t>
            </w:r>
            <w:r w:rsidRPr="009A25D8">
              <w:rPr>
                <w:sz w:val="21"/>
                <w:szCs w:val="21"/>
              </w:rPr>
              <w:t xml:space="preserve">3</w:t>
            </w:r>
            <w:r w:rsidRPr="009A25D8">
              <w:rPr>
                <w:sz w:val="21"/>
                <w:szCs w:val="21"/>
              </w:rPr>
              <w:t xml:space="preserve">成</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12</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9</w:t>
            </w:r>
            <w:r w:rsidRPr="009A25D8">
              <w:rPr>
                <w:sz w:val="21"/>
                <w:szCs w:val="21"/>
              </w:rPr>
              <w:t xml:space="preserve">月</w:t>
            </w:r>
            <w:r w:rsidRPr="009A25D8">
              <w:rPr>
                <w:sz w:val="21"/>
                <w:szCs w:val="21"/>
              </w:rPr>
              <w:t xml:space="preserve">28</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公积金贷款调整</w:t>
            </w:r>
          </w:p>
        </w:tc>
        <w:tc>
          <w:tcPr>
            <w:tcW w:w="2941" w:type="pct"/>
            <w:vAlign w:val="center"/>
          </w:tcPr>
          <w:p>
            <w:pPr>
              <w:spacing w:line="360" w:lineRule="exact"/>
              <w:rPr>
                <w:sz w:val="21"/>
                <w:szCs w:val="21"/>
              </w:rPr>
            </w:pPr>
            <w:r w:rsidRPr="009A25D8">
              <w:rPr>
                <w:sz w:val="21"/>
                <w:szCs w:val="21"/>
              </w:rPr>
              <w:t xml:space="preserve">上调公积金最高额度，个人最高可贷</w:t>
            </w:r>
            <w:r w:rsidRPr="009A25D8">
              <w:rPr>
                <w:sz w:val="21"/>
                <w:szCs w:val="21"/>
              </w:rPr>
              <w:t xml:space="preserve">80</w:t>
            </w:r>
            <w:r w:rsidRPr="009A25D8">
              <w:rPr>
                <w:sz w:val="21"/>
                <w:szCs w:val="21"/>
              </w:rPr>
              <w:t xml:space="preserve">万，家庭最高可贷</w:t>
            </w:r>
            <w:r w:rsidRPr="009A25D8">
              <w:rPr>
                <w:sz w:val="21"/>
                <w:szCs w:val="21"/>
              </w:rPr>
              <w:t xml:space="preserve">110</w:t>
            </w:r>
            <w:r w:rsidRPr="009A25D8">
              <w:rPr>
                <w:sz w:val="21"/>
                <w:szCs w:val="21"/>
              </w:rPr>
              <w:t xml:space="preserve">万，公积金贷款期限最长不超过</w:t>
            </w:r>
            <w:r w:rsidRPr="009A25D8">
              <w:rPr>
                <w:sz w:val="21"/>
                <w:szCs w:val="21"/>
              </w:rPr>
              <w:t xml:space="preserve">30</w:t>
            </w:r>
            <w:r w:rsidRPr="009A25D8">
              <w:rPr>
                <w:sz w:val="21"/>
                <w:szCs w:val="21"/>
              </w:rPr>
              <w:t xml:space="preserve">年</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13</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10</w:t>
            </w:r>
            <w:r w:rsidRPr="009A25D8">
              <w:rPr>
                <w:sz w:val="21"/>
                <w:szCs w:val="21"/>
              </w:rPr>
              <w:t xml:space="preserve">月</w:t>
            </w:r>
            <w:r w:rsidRPr="009A25D8">
              <w:rPr>
                <w:sz w:val="21"/>
                <w:szCs w:val="21"/>
              </w:rPr>
              <w:t xml:space="preserve">10</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放宽落户</w:t>
            </w:r>
          </w:p>
          <w:p>
            <w:pPr>
              <w:spacing w:line="360" w:lineRule="exact"/>
              <w:jc w:val="center"/>
              <w:rPr>
                <w:sz w:val="21"/>
                <w:szCs w:val="21"/>
              </w:rPr>
            </w:pPr>
            <w:r w:rsidRPr="009A25D8">
              <w:rPr>
                <w:sz w:val="21"/>
                <w:szCs w:val="21"/>
              </w:rPr>
              <w:t xml:space="preserve">条件</w:t>
            </w:r>
          </w:p>
        </w:tc>
        <w:tc>
          <w:tcPr>
            <w:tcW w:w="2941" w:type="pct"/>
            <w:vAlign w:val="center"/>
          </w:tcPr>
          <w:p>
            <w:pPr>
              <w:spacing w:line="360" w:lineRule="exact"/>
              <w:rPr>
                <w:sz w:val="21"/>
                <w:szCs w:val="21"/>
              </w:rPr>
            </w:pPr>
            <w:r w:rsidRPr="009A25D8">
              <w:rPr>
                <w:sz w:val="21"/>
                <w:szCs w:val="21"/>
              </w:rPr>
              <w:t xml:space="preserve">具有专业技术人员职业资格的人员纳入人才落户对象，非全日制本科也可落户</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14</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10</w:t>
            </w:r>
            <w:r w:rsidRPr="009A25D8">
              <w:rPr>
                <w:sz w:val="21"/>
                <w:szCs w:val="21"/>
              </w:rPr>
              <w:t xml:space="preserve">月</w:t>
            </w:r>
            <w:r w:rsidRPr="009A25D8">
              <w:rPr>
                <w:sz w:val="21"/>
                <w:szCs w:val="21"/>
              </w:rPr>
              <w:t xml:space="preserve">30</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土拍规则</w:t>
            </w:r>
          </w:p>
          <w:p>
            <w:pPr>
              <w:spacing w:line="360" w:lineRule="exact"/>
              <w:jc w:val="center"/>
              <w:rPr>
                <w:sz w:val="21"/>
                <w:szCs w:val="21"/>
              </w:rPr>
            </w:pPr>
            <w:r w:rsidRPr="009A25D8">
              <w:rPr>
                <w:sz w:val="21"/>
                <w:szCs w:val="21"/>
              </w:rPr>
              <w:t xml:space="preserve">调整</w:t>
            </w:r>
          </w:p>
        </w:tc>
        <w:tc>
          <w:tcPr>
            <w:tcW w:w="2941" w:type="pct"/>
            <w:vAlign w:val="center"/>
          </w:tcPr>
          <w:p>
            <w:pPr>
              <w:spacing w:line="360" w:lineRule="exact"/>
              <w:rPr>
                <w:sz w:val="21"/>
                <w:szCs w:val="21"/>
              </w:rPr>
            </w:pPr>
            <w:r w:rsidRPr="009A25D8">
              <w:rPr>
                <w:sz w:val="21"/>
                <w:szCs w:val="21"/>
              </w:rPr>
              <w:t xml:space="preserve">取消最高限价，改为价高者得；取消不得设置带有私家花园的低层独立式住宅的规定，别墅重回新房市场</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15</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11</w:t>
            </w:r>
            <w:r w:rsidRPr="009A25D8">
              <w:rPr>
                <w:sz w:val="21"/>
                <w:szCs w:val="21"/>
              </w:rPr>
              <w:t xml:space="preserve">月</w:t>
            </w:r>
            <w:r w:rsidRPr="009A25D8">
              <w:rPr>
                <w:sz w:val="21"/>
                <w:szCs w:val="21"/>
              </w:rPr>
              <w:t xml:space="preserve">27</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人才落户</w:t>
            </w:r>
          </w:p>
          <w:p>
            <w:pPr>
              <w:spacing w:line="360" w:lineRule="exact"/>
              <w:jc w:val="center"/>
              <w:rPr>
                <w:sz w:val="21"/>
                <w:szCs w:val="21"/>
              </w:rPr>
            </w:pPr>
            <w:r w:rsidRPr="009A25D8">
              <w:rPr>
                <w:sz w:val="21"/>
                <w:szCs w:val="21"/>
              </w:rPr>
              <w:t xml:space="preserve">调整</w:t>
            </w:r>
          </w:p>
        </w:tc>
        <w:tc>
          <w:tcPr>
            <w:tcW w:w="2941" w:type="pct"/>
            <w:vAlign w:val="center"/>
          </w:tcPr>
          <w:p>
            <w:pPr>
              <w:spacing w:line="360" w:lineRule="exact"/>
              <w:rPr>
                <w:sz w:val="21"/>
                <w:szCs w:val="21"/>
              </w:rPr>
            </w:pPr>
            <w:r w:rsidRPr="009A25D8">
              <w:rPr>
                <w:sz w:val="21"/>
                <w:szCs w:val="21"/>
              </w:rPr>
              <w:t xml:space="preserve">《市政府关于印发苏州市人才落户管理办法的通知出台，人才落户进一步放宽》</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16</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12</w:t>
            </w:r>
            <w:r w:rsidRPr="009A25D8">
              <w:rPr>
                <w:sz w:val="21"/>
                <w:szCs w:val="21"/>
              </w:rPr>
              <w:t xml:space="preserve">月</w:t>
            </w:r>
            <w:r w:rsidRPr="009A25D8">
              <w:rPr>
                <w:sz w:val="21"/>
                <w:szCs w:val="21"/>
              </w:rPr>
              <w:t xml:space="preserve">4</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实行卖旧买新和契税</w:t>
            </w:r>
          </w:p>
          <w:p>
            <w:pPr>
              <w:spacing w:line="360" w:lineRule="exact"/>
              <w:jc w:val="center"/>
              <w:rPr>
                <w:sz w:val="21"/>
                <w:szCs w:val="21"/>
              </w:rPr>
            </w:pPr>
            <w:r w:rsidRPr="009A25D8">
              <w:rPr>
                <w:sz w:val="21"/>
                <w:szCs w:val="21"/>
              </w:rPr>
              <w:t xml:space="preserve">补贴</w:t>
            </w:r>
          </w:p>
        </w:tc>
        <w:tc>
          <w:tcPr>
            <w:tcW w:w="2941" w:type="pct"/>
            <w:vAlign w:val="center"/>
          </w:tcPr>
          <w:p>
            <w:pPr>
              <w:spacing w:line="360" w:lineRule="exact"/>
              <w:rPr>
                <w:sz w:val="21"/>
                <w:szCs w:val="21"/>
              </w:rPr>
            </w:pPr>
            <w:r w:rsidRPr="009A25D8">
              <w:rPr>
                <w:sz w:val="21"/>
                <w:szCs w:val="21"/>
              </w:rPr>
              <w:t xml:space="preserve">苏州正式启动住房</w:t>
            </w:r>
            <w:r w:rsidRPr="009A25D8">
              <w:rPr>
                <w:sz w:val="21"/>
                <w:szCs w:val="21"/>
              </w:rPr>
              <w:t xml:space="preserve">“</w:t>
            </w:r>
            <w:r w:rsidRPr="009A25D8">
              <w:rPr>
                <w:sz w:val="21"/>
                <w:szCs w:val="21"/>
              </w:rPr>
              <w:t xml:space="preserve">换新购</w:t>
            </w:r>
            <w:r w:rsidRPr="009A25D8">
              <w:rPr>
                <w:sz w:val="21"/>
                <w:szCs w:val="21"/>
              </w:rPr>
              <w:t xml:space="preserve">”</w:t>
            </w:r>
            <w:r w:rsidRPr="009A25D8">
              <w:rPr>
                <w:sz w:val="21"/>
                <w:szCs w:val="21"/>
              </w:rPr>
              <w:t xml:space="preserve">，各区细则陆续出台</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17</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12</w:t>
            </w:r>
            <w:r w:rsidRPr="009A25D8">
              <w:rPr>
                <w:sz w:val="21"/>
                <w:szCs w:val="21"/>
              </w:rPr>
              <w:t xml:space="preserve">月</w:t>
            </w:r>
            <w:r w:rsidRPr="009A25D8">
              <w:rPr>
                <w:sz w:val="21"/>
                <w:szCs w:val="21"/>
              </w:rPr>
              <w:t xml:space="preserve">11</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相城区实行收旧换新</w:t>
            </w:r>
          </w:p>
        </w:tc>
        <w:tc>
          <w:tcPr>
            <w:tcW w:w="2941" w:type="pct"/>
            <w:vAlign w:val="center"/>
          </w:tcPr>
          <w:p>
            <w:pPr>
              <w:spacing w:line="360" w:lineRule="exact"/>
              <w:rPr>
                <w:sz w:val="21"/>
                <w:szCs w:val="21"/>
              </w:rPr>
            </w:pPr>
            <w:r w:rsidRPr="009A25D8">
              <w:rPr>
                <w:sz w:val="21"/>
                <w:szCs w:val="21"/>
              </w:rPr>
              <w:t xml:space="preserve">相城区二手房面积低于</w:t>
            </w:r>
            <w:r w:rsidRPr="009A25D8">
              <w:rPr>
                <w:sz w:val="21"/>
                <w:szCs w:val="21"/>
              </w:rPr>
              <w:t xml:space="preserve">144m</w:t>
            </w:r>
            <w:r w:rsidRPr="009A25D8">
              <w:rPr>
                <w:sz w:val="21"/>
                <w:szCs w:val="21"/>
                <w:vertAlign w:val="superscript"/>
              </w:rPr>
              <w:t xml:space="preserve">2</w:t>
            </w:r>
            <w:r w:rsidRPr="009A25D8">
              <w:rPr>
                <w:sz w:val="21"/>
                <w:szCs w:val="21"/>
              </w:rPr>
              <w:t xml:space="preserve">，可换购一套新房，三个楼盘可换购</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18</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12</w:t>
            </w:r>
            <w:r w:rsidRPr="009A25D8">
              <w:rPr>
                <w:sz w:val="21"/>
                <w:szCs w:val="21"/>
              </w:rPr>
              <w:t xml:space="preserve">月</w:t>
            </w:r>
            <w:r w:rsidRPr="009A25D8">
              <w:rPr>
                <w:sz w:val="21"/>
                <w:szCs w:val="21"/>
              </w:rPr>
              <w:t xml:space="preserve">11</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吴江实行房票安置政策</w:t>
            </w:r>
          </w:p>
        </w:tc>
        <w:tc>
          <w:tcPr>
            <w:tcW w:w="2941" w:type="pct"/>
            <w:vAlign w:val="center"/>
          </w:tcPr>
          <w:p>
            <w:pPr>
              <w:spacing w:line="360" w:lineRule="exact"/>
              <w:rPr>
                <w:sz w:val="21"/>
                <w:szCs w:val="21"/>
              </w:rPr>
            </w:pPr>
            <w:r w:rsidRPr="009A25D8">
              <w:rPr>
                <w:sz w:val="21"/>
                <w:szCs w:val="21"/>
              </w:rPr>
              <w:t xml:space="preserve">同里发出全区首张房票</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19</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12</w:t>
            </w:r>
            <w:r w:rsidRPr="009A25D8">
              <w:rPr>
                <w:sz w:val="21"/>
                <w:szCs w:val="21"/>
              </w:rPr>
              <w:t xml:space="preserve">月</w:t>
            </w:r>
            <w:r w:rsidRPr="009A25D8">
              <w:rPr>
                <w:sz w:val="21"/>
                <w:szCs w:val="21"/>
              </w:rPr>
              <w:t xml:space="preserve">21</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园区取消九年一学位</w:t>
            </w:r>
          </w:p>
        </w:tc>
        <w:tc>
          <w:tcPr>
            <w:tcW w:w="2941" w:type="pct"/>
            <w:vAlign w:val="center"/>
          </w:tcPr>
          <w:p>
            <w:pPr>
              <w:spacing w:line="360" w:lineRule="exact"/>
              <w:rPr>
                <w:sz w:val="21"/>
                <w:szCs w:val="21"/>
              </w:rPr>
            </w:pPr>
            <w:r w:rsidRPr="009A25D8">
              <w:rPr>
                <w:sz w:val="21"/>
                <w:szCs w:val="21"/>
              </w:rPr>
              <w:t xml:space="preserve">园区取消九年一学位，实施五年一学位</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20</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12</w:t>
            </w:r>
            <w:r w:rsidRPr="009A25D8">
              <w:rPr>
                <w:sz w:val="21"/>
                <w:szCs w:val="21"/>
              </w:rPr>
              <w:t xml:space="preserve">月</w:t>
            </w:r>
            <w:r w:rsidRPr="009A25D8">
              <w:rPr>
                <w:sz w:val="21"/>
                <w:szCs w:val="21"/>
              </w:rPr>
              <w:t xml:space="preserve">29</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落户积分</w:t>
            </w:r>
          </w:p>
          <w:p>
            <w:pPr>
              <w:spacing w:line="360" w:lineRule="exact"/>
              <w:jc w:val="center"/>
              <w:rPr>
                <w:sz w:val="21"/>
                <w:szCs w:val="21"/>
              </w:rPr>
            </w:pPr>
            <w:r w:rsidRPr="009A25D8">
              <w:rPr>
                <w:sz w:val="21"/>
                <w:szCs w:val="21"/>
              </w:rPr>
              <w:t xml:space="preserve">下调</w:t>
            </w:r>
          </w:p>
        </w:tc>
        <w:tc>
          <w:tcPr>
            <w:tcW w:w="2941" w:type="pct"/>
            <w:vAlign w:val="center"/>
          </w:tcPr>
          <w:p>
            <w:pPr>
              <w:spacing w:line="360" w:lineRule="exact"/>
              <w:rPr>
                <w:sz w:val="21"/>
                <w:szCs w:val="21"/>
              </w:rPr>
            </w:pPr>
            <w:r w:rsidRPr="009A25D8">
              <w:rPr>
                <w:sz w:val="21"/>
                <w:szCs w:val="21"/>
              </w:rPr>
              <w:t xml:space="preserve">苏州积分落户门槛再次降低，准入分值下调至</w:t>
            </w:r>
            <w:r w:rsidRPr="009A25D8">
              <w:rPr>
                <w:sz w:val="21"/>
                <w:szCs w:val="21"/>
              </w:rPr>
              <w:t xml:space="preserve">250</w:t>
            </w:r>
            <w:r w:rsidRPr="009A25D8">
              <w:rPr>
                <w:sz w:val="21"/>
                <w:szCs w:val="21"/>
              </w:rPr>
              <w:t xml:space="preserve">分</w:t>
            </w:r>
          </w:p>
        </w:tc>
      </w:tr>
    </w:tbl>
    <w:p>
      <w:pPr>
        <w:spacing w:line="480" w:lineRule="exact"/>
        <w:ind w:firstLine="480" w:firstLineChars="200"/>
        <w:jc w:val="both"/>
        <w:rPr>
          <w:rFonts w:eastAsia="黑体"/>
          <w:sz w:val="24"/>
        </w:rPr>
      </w:pPr>
      <w:r w:rsidRPr="009A25D8">
        <w:rPr>
          <w:rFonts w:eastAsia="黑体"/>
          <w:sz w:val="24"/>
        </w:rPr>
        <w:t xml:space="preserve">4</w:t>
      </w:r>
      <w:r w:rsidRPr="009A25D8">
        <w:rPr>
          <w:rFonts w:hint="eastAsia" w:eastAsia="黑体"/>
          <w:sz w:val="24"/>
        </w:rPr>
        <w:t xml:space="preserve">、住宅房地产交易税收政策</w:t>
      </w:r>
    </w:p>
    <w:p>
      <w:pPr>
        <w:spacing w:line="480" w:lineRule="exact"/>
        <w:ind w:firstLine="480" w:firstLineChars="200"/>
        <w:jc w:val="both"/>
        <w:rPr>
          <w:sz w:val="24"/>
        </w:rPr>
      </w:pPr>
      <w:r w:rsidRPr="009A25D8">
        <w:rPr>
          <w:sz w:val="24"/>
        </w:rPr>
        <w:t xml:space="preserve">4.1</w:t>
      </w:r>
      <w:r w:rsidRPr="009A25D8">
        <w:rPr>
          <w:rFonts w:hint="eastAsia"/>
          <w:sz w:val="24"/>
        </w:rPr>
        <w:t xml:space="preserve">个人购入房地产</w:t>
      </w:r>
    </w:p>
    <w:p>
      <w:pPr>
        <w:spacing w:line="480" w:lineRule="exact"/>
        <w:ind w:firstLine="480" w:firstLineChars="200"/>
        <w:jc w:val="both"/>
        <w:rPr>
          <w:sz w:val="24"/>
        </w:rPr>
      </w:pPr>
      <w:r w:rsidRPr="009A25D8">
        <w:rPr>
          <w:rFonts w:hint="eastAsia"/>
          <w:sz w:val="24"/>
        </w:rPr>
        <w:t xml:space="preserve">自</w:t>
      </w:r>
      <w:r w:rsidRPr="009A25D8">
        <w:rPr>
          <w:sz w:val="24"/>
        </w:rPr>
        <w:t xml:space="preserve">2016 </w:t>
      </w:r>
      <w:r w:rsidRPr="009A25D8">
        <w:rPr>
          <w:rFonts w:hint="eastAsia"/>
          <w:sz w:val="24"/>
        </w:rPr>
        <w:t xml:space="preserve">年</w:t>
      </w:r>
      <w:r w:rsidRPr="009A25D8">
        <w:rPr>
          <w:sz w:val="24"/>
        </w:rPr>
        <w:t xml:space="preserve">2</w:t>
      </w:r>
      <w:r w:rsidRPr="009A25D8">
        <w:rPr>
          <w:rFonts w:hint="eastAsia"/>
          <w:sz w:val="24"/>
        </w:rPr>
        <w:t xml:space="preserve">月</w:t>
      </w:r>
      <w:r w:rsidRPr="009A25D8">
        <w:rPr>
          <w:sz w:val="24"/>
        </w:rPr>
        <w:t xml:space="preserve">22</w:t>
      </w:r>
      <w:r w:rsidRPr="009A25D8">
        <w:rPr>
          <w:rFonts w:hint="eastAsia"/>
          <w:sz w:val="24"/>
        </w:rPr>
        <w:t xml:space="preserve">日起，对个人购买家庭唯一住房（家庭成员范围包括购房人、配偶以及未成年子女，下同），面积为</w:t>
      </w:r>
      <w:r w:rsidRPr="009A25D8">
        <w:rPr>
          <w:sz w:val="24"/>
        </w:rPr>
        <w:t xml:space="preserve">90</w:t>
      </w:r>
      <w:r w:rsidRPr="009A25D8">
        <w:rPr>
          <w:rFonts w:hint="eastAsia"/>
          <w:sz w:val="24"/>
        </w:rPr>
        <w:t xml:space="preserve">平方米及以下的，减按</w:t>
      </w:r>
      <w:r w:rsidRPr="009A25D8">
        <w:rPr>
          <w:sz w:val="24"/>
        </w:rPr>
        <w:t xml:space="preserve">1%</w:t>
      </w:r>
      <w:r w:rsidRPr="009A25D8">
        <w:rPr>
          <w:rFonts w:hint="eastAsia"/>
          <w:sz w:val="24"/>
        </w:rPr>
        <w:t xml:space="preserve">的税率征收契税；面积为</w:t>
      </w:r>
      <w:r w:rsidRPr="009A25D8">
        <w:rPr>
          <w:sz w:val="24"/>
        </w:rPr>
        <w:t xml:space="preserve">90</w:t>
      </w:r>
      <w:r w:rsidRPr="009A25D8">
        <w:rPr>
          <w:rFonts w:hint="eastAsia"/>
          <w:sz w:val="24"/>
        </w:rPr>
        <w:t xml:space="preserve">平方米以上的，减按</w:t>
      </w:r>
      <w:r w:rsidRPr="009A25D8">
        <w:rPr>
          <w:sz w:val="24"/>
        </w:rPr>
        <w:t xml:space="preserve">1.5%</w:t>
      </w:r>
      <w:r w:rsidRPr="009A25D8">
        <w:rPr>
          <w:rFonts w:hint="eastAsia"/>
          <w:sz w:val="24"/>
        </w:rPr>
        <w:t xml:space="preserve">的税率征收契税。对个人购买家庭第二套改善性住房，面积为</w:t>
      </w:r>
      <w:r w:rsidRPr="009A25D8">
        <w:rPr>
          <w:sz w:val="24"/>
        </w:rPr>
        <w:t xml:space="preserve">90</w:t>
      </w:r>
      <w:r w:rsidRPr="009A25D8">
        <w:rPr>
          <w:rFonts w:hint="eastAsia"/>
          <w:sz w:val="24"/>
        </w:rPr>
        <w:t xml:space="preserve">平方米及以下的，减按</w:t>
      </w:r>
      <w:r w:rsidRPr="009A25D8">
        <w:rPr>
          <w:sz w:val="24"/>
        </w:rPr>
        <w:t xml:space="preserve">1%</w:t>
      </w:r>
      <w:r w:rsidRPr="009A25D8">
        <w:rPr>
          <w:rFonts w:hint="eastAsia"/>
          <w:sz w:val="24"/>
        </w:rPr>
        <w:t xml:space="preserve">的税率征收契税；面积为</w:t>
      </w:r>
      <w:r w:rsidRPr="009A25D8">
        <w:rPr>
          <w:sz w:val="24"/>
        </w:rPr>
        <w:t xml:space="preserve">90</w:t>
      </w:r>
      <w:r w:rsidRPr="009A25D8">
        <w:rPr>
          <w:rFonts w:hint="eastAsia"/>
          <w:sz w:val="24"/>
        </w:rPr>
        <w:t xml:space="preserve">平方米以上的，减按</w:t>
      </w:r>
      <w:r w:rsidRPr="009A25D8">
        <w:rPr>
          <w:sz w:val="24"/>
        </w:rPr>
        <w:t xml:space="preserve">2%</w:t>
      </w:r>
      <w:r w:rsidRPr="009A25D8">
        <w:rPr>
          <w:rFonts w:hint="eastAsia"/>
          <w:sz w:val="24"/>
        </w:rPr>
        <w:t xml:space="preserve">的税率征收契税。对个人购买家庭第三套及以</w:t>
      </w:r>
      <w:r w:rsidRPr="005B0248">
        <w:rPr>
          <w:rFonts w:hint="eastAsia"/>
          <w:sz w:val="24"/>
        </w:rPr>
        <w:t xml:space="preserve">上住房，一律按</w:t>
      </w:r>
      <w:r w:rsidRPr="005B0248">
        <w:rPr>
          <w:sz w:val="24"/>
        </w:rPr>
        <w:t xml:space="preserve">3%</w:t>
      </w:r>
      <w:r w:rsidRPr="005B0248">
        <w:rPr>
          <w:rFonts w:hint="eastAsia"/>
          <w:sz w:val="24"/>
        </w:rPr>
        <w:t xml:space="preserve">的税率征收契税。</w:t>
      </w:r>
    </w:p>
    <w:p>
      <w:pPr>
        <w:spacing w:line="480" w:lineRule="exact"/>
        <w:ind w:firstLine="480" w:firstLineChars="200"/>
        <w:jc w:val="both"/>
        <w:rPr>
          <w:sz w:val="24"/>
        </w:rPr>
      </w:pPr>
      <w:r w:rsidRPr="005B0248">
        <w:rPr>
          <w:sz w:val="24"/>
        </w:rPr>
        <w:t xml:space="preserve">4.2</w:t>
      </w:r>
      <w:r w:rsidRPr="005B0248">
        <w:rPr>
          <w:rFonts w:hint="eastAsia"/>
          <w:sz w:val="24"/>
        </w:rPr>
        <w:t xml:space="preserve">个人转让房地产</w:t>
      </w:r>
    </w:p>
    <w:p>
      <w:pPr>
        <w:spacing w:line="480" w:lineRule="exact"/>
        <w:ind w:firstLine="480" w:firstLineChars="200"/>
        <w:jc w:val="both"/>
        <w:rPr>
          <w:sz w:val="24"/>
        </w:rPr>
      </w:pPr>
      <w:r w:rsidRPr="005B0248">
        <w:rPr>
          <w:sz w:val="24"/>
        </w:rPr>
        <w:t xml:space="preserve">4.2.1</w:t>
      </w:r>
      <w:r w:rsidRPr="005B0248">
        <w:rPr>
          <w:rFonts w:hint="eastAsia"/>
          <w:sz w:val="24"/>
        </w:rPr>
        <w:t xml:space="preserve">增值税：个人将购买不足</w:t>
      </w:r>
      <w:r w:rsidRPr="005B0248">
        <w:rPr>
          <w:sz w:val="24"/>
        </w:rPr>
        <w:t xml:space="preserve">2</w:t>
      </w:r>
      <w:r w:rsidRPr="005B0248">
        <w:rPr>
          <w:rFonts w:hint="eastAsia"/>
          <w:sz w:val="24"/>
        </w:rPr>
        <w:t xml:space="preserve">年的住房对外销售的，按照</w:t>
      </w:r>
      <w:r w:rsidRPr="005B0248">
        <w:rPr>
          <w:sz w:val="24"/>
        </w:rPr>
        <w:t xml:space="preserve">5%</w:t>
      </w:r>
      <w:r w:rsidRPr="005B0248">
        <w:rPr>
          <w:rFonts w:hint="eastAsia"/>
          <w:sz w:val="24"/>
        </w:rPr>
        <w:t xml:space="preserve">的征收率全额缴纳增值税；个人将购买</w:t>
      </w:r>
      <w:r w:rsidRPr="005B0248">
        <w:rPr>
          <w:sz w:val="24"/>
        </w:rPr>
        <w:t xml:space="preserve">2</w:t>
      </w:r>
      <w:r w:rsidRPr="005B0248">
        <w:rPr>
          <w:rFonts w:hint="eastAsia"/>
          <w:sz w:val="24"/>
        </w:rPr>
        <w:t xml:space="preserve">年以上（含</w:t>
      </w:r>
      <w:r w:rsidRPr="005B0248">
        <w:rPr>
          <w:sz w:val="24"/>
        </w:rPr>
        <w:t xml:space="preserve">2</w:t>
      </w:r>
      <w:r w:rsidRPr="005B0248">
        <w:rPr>
          <w:rFonts w:hint="eastAsia"/>
          <w:sz w:val="24"/>
        </w:rPr>
        <w:t xml:space="preserve">年）的住房对外销售的，免征增值税。</w:t>
      </w:r>
    </w:p>
    <w:p>
      <w:pPr>
        <w:spacing w:line="480" w:lineRule="exact"/>
        <w:ind w:firstLine="425" w:firstLineChars="177"/>
        <w:rPr>
          <w:sz w:val="24"/>
        </w:rPr>
      </w:pPr>
      <w:r w:rsidRPr="005B0248">
        <w:rPr>
          <w:sz w:val="24"/>
        </w:rPr>
        <w:t xml:space="preserve">4.2.2 </w:t>
      </w:r>
      <w:r w:rsidRPr="005B0248">
        <w:rPr>
          <w:rFonts w:hint="eastAsia"/>
          <w:sz w:val="24"/>
        </w:rPr>
        <w:t xml:space="preserve">城市建设维护税、教育费附加、地方教育费附加：随增值税附征。</w:t>
      </w:r>
    </w:p>
    <w:p>
      <w:pPr>
        <w:spacing w:line="480" w:lineRule="exact"/>
        <w:ind w:firstLine="480" w:firstLineChars="200"/>
        <w:jc w:val="both"/>
        <w:rPr>
          <w:sz w:val="24"/>
        </w:rPr>
      </w:pPr>
      <w:r w:rsidRPr="005B0248">
        <w:rPr>
          <w:sz w:val="24"/>
        </w:rPr>
        <w:t xml:space="preserve">4.2.3</w:t>
      </w:r>
      <w:r w:rsidRPr="005B0248">
        <w:rPr>
          <w:rFonts w:hint="eastAsia"/>
          <w:sz w:val="24"/>
        </w:rPr>
        <w:t xml:space="preserve">个人所得税：能提供完善、准确凭证的，据实征收，按转让收入减除房产原值及合理税费的余额的</w:t>
      </w:r>
      <w:r w:rsidRPr="005B0248">
        <w:rPr>
          <w:sz w:val="24"/>
        </w:rPr>
        <w:t xml:space="preserve">20%</w:t>
      </w:r>
      <w:r w:rsidRPr="005B0248">
        <w:rPr>
          <w:rFonts w:hint="eastAsia"/>
          <w:sz w:val="24"/>
        </w:rPr>
        <w:t xml:space="preserve">征收；否则，按转让收入</w:t>
      </w:r>
      <w:r w:rsidRPr="005B0248">
        <w:rPr>
          <w:sz w:val="24"/>
        </w:rPr>
        <w:t xml:space="preserve">1% </w:t>
      </w:r>
      <w:r w:rsidRPr="005B0248">
        <w:rPr>
          <w:rFonts w:hint="eastAsia"/>
          <w:sz w:val="24"/>
        </w:rPr>
        <w:t xml:space="preserve">核定征收。个人转让自用</w:t>
      </w:r>
      <w:r w:rsidRPr="005B0248">
        <w:rPr>
          <w:sz w:val="24"/>
        </w:rPr>
        <w:t xml:space="preserve">5</w:t>
      </w:r>
      <w:r w:rsidRPr="005B0248">
        <w:rPr>
          <w:rFonts w:hint="eastAsia"/>
          <w:sz w:val="24"/>
        </w:rPr>
        <w:t xml:space="preserve">年以上，并且是家庭唯一生活用房，取得的所得免征个人所得税。</w:t>
      </w:r>
    </w:p>
    <w:p>
      <w:pPr>
        <w:spacing w:line="480" w:lineRule="exact"/>
        <w:ind w:firstLine="480" w:firstLineChars="200"/>
        <w:jc w:val="both"/>
        <w:rPr>
          <w:rFonts w:eastAsia="黑体"/>
          <w:sz w:val="24"/>
        </w:rPr>
      </w:pPr>
      <w:r w:rsidRPr="009A25D8">
        <w:rPr>
          <w:rFonts w:eastAsia="黑体"/>
          <w:sz w:val="24"/>
        </w:rPr>
        <w:t xml:space="preserve">5</w:t>
      </w:r>
      <w:r w:rsidRPr="009A25D8">
        <w:rPr>
          <w:rFonts w:hint="eastAsia" w:eastAsia="黑体"/>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r>
        <w:rPr>
          <w:rFonts w:ascii="宋体" w:hAnsi="宋体"/>
          <w:sz w:val="24"/>
        </w:rPr>
        <w:t xml:space="preserve">2024年第二季度</w:t>
      </w:r>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胜秀花苑住宅2024年4月挂牌均价11100元/平方米，较年初持平。待评估二手房住宅近9个月（2023年08月-2024年04月）挂牌均价波动幅度较小，价格维持在11100-12250元/平方米之间。</w:t>
      </w:r>
    </w:p>
    <w:tbl>
      <w:tblPr>
        <w:tblStyle w:val="NormalTable"/>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7966"/>
      </w:tblGrid>
      <w:tr>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1"/>
                </v:shape>
              </w:pict>
            </w:r>
          </w:p>
        </w:tc>
      </w:tr>
      <w:tr>
        <w:trPr>
          <w:cantSplit/>
          <w:trHeight w:val="4688" w:hRule="exact"/>
          <w:jc w:val="center"/>
        </w:trPr>
        <w:tc>
          <w:tcPr>
            <w:tcW w:w="7966" w:type="dxa"/>
            <w:vAlign w:val="center"/>
          </w:tcPr>
          <w:p>
            <w:pPr>
              <w:spacing w:line="360" w:lineRule="auto"/>
              <w:jc w:val="center"/>
              <w:rPr/>
            </w:pPr>
            <w:r>
              <w:pict>
                <v:shape id="_x0000_i0010" style="height:209pt;width:312pt" o:spid="_x0000_i0036" o:bordertopcolor="this" o:borderleftcolor="this" o:borderbottomcolor="this" o:borderrightcolor="this" type="#_x0000_t75">
                  <v:imagedata o:title="" r:id="rId10"/>
                </v:shape>
              </w:pict>
            </w:r>
          </w:p>
        </w:tc>
      </w:tr>
    </w:tbl>
    <w:p>
      <w:pPr>
        <w:spacing w:line="480" w:lineRule="exact"/>
        <w:ind w:firstLine="361" w:firstLineChars="200"/>
        <w:jc w:val="center"/>
        <w:rPr>
          <w:rFonts w:ascii="宋体" w:hAnsi="宋体"/>
          <w:b/>
          <w:sz w:val="18"/>
          <w:szCs w:val="18"/>
        </w:rPr>
      </w:pPr>
      <w:r>
        <w:rPr>
          <w:rFonts w:hint="eastAsia" w:ascii="宋体" w:hAnsi="宋体"/>
          <w:b/>
          <w:sz w:val="18"/>
          <w:szCs w:val="18"/>
        </w:rPr>
        <w:t xml:space="preserve">苏州市吴江区胜秀花苑</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NormalTable"/>
        <w:tblW w:w="10128" w:type="dxa"/>
        <w:jc w:val="center"/>
        <w:tblLook w:val="04A0" w:firstRow="1" w:lastRow="0" w:firstColumn="1" w:lastColumn="0" w:noHBand="0" w:noVBand="1"/>
      </w:tblPr>
      <w:tblGrid>
        <w:gridCol w:w="1040"/>
        <w:gridCol w:w="1460"/>
        <w:gridCol w:w="1560"/>
        <w:gridCol w:w="1516"/>
        <w:gridCol w:w="1520"/>
        <w:gridCol w:w="1516"/>
        <w:gridCol w:w="1516"/>
      </w:tblGrid>
      <w:tr>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F32050920230041071</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F32050920230035784</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s202308080138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F32050920230048774</w:t>
            </w:r>
          </w:p>
        </w:tc>
      </w:tr>
      <w:tr>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吴江区黎里镇胜秀花苑5幢103室普通多层住宅标准房基准价格评估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优瑾新村6幢304</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新天地家园8幢204</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胜秀花苑11幢604</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璟怡花园3幢103</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98.42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104.5</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96.43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125.86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123.8</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3/4</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1997</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2016</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27</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00016</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00017</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00022</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r>
      <w:tr>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r>
      <w:tr>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2024年04月23日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2023年11月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2023年10月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2023年08月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2023年12月</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5807</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5818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5959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5728</w:t>
            </w:r>
          </w:p>
        </w:tc>
      </w:tr>
      <w:tr>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2"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指数，吴江区2023年04月至2024年03月住宅月度价格指数表为：</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1358"/>
        <w:gridCol w:w="1716"/>
        <w:gridCol w:w="1816"/>
        <w:gridCol w:w="1816"/>
        <w:gridCol w:w="1816"/>
      </w:tblGrid>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2023年04月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2023年05月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2023年06月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2023年07月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2011</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2040</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2055</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2070</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2023年08月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2023年09月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2023年10月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2023年11月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2072</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2023年12月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2024年01月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2024年02月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2024年03月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2048</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2017</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1990</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1971</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NormalTable"/>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041"/>
        <w:gridCol w:w="1560"/>
        <w:gridCol w:w="1486"/>
        <w:gridCol w:w="1488"/>
        <w:gridCol w:w="1488"/>
        <w:gridCol w:w="1488"/>
      </w:tblGrid>
      <w:tr>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w:t>
            </w:r>
            <w:r>
              <w:rPr>
                <w:rFonts w:hint="eastAsia"/>
                <w:b/>
              </w:rPr>
              <w:t xml:space="preserve">A</w:t>
            </w:r>
          </w:p>
        </w:tc>
        <w:tc>
          <w:tcPr>
            <w:tcW w:w="779" w:type="pct"/>
            <w:shd w:val="clear" w:color="auto" w:fill="FFFFFF"/>
            <w:vAlign w:val="center"/>
          </w:tcPr>
          <w:p>
            <w:pPr>
              <w:jc w:val="center"/>
              <w:rPr>
                <w:b/>
              </w:rPr>
            </w:pPr>
            <w:r>
              <w:rPr>
                <w:rFonts w:hint="eastAsia"/>
                <w:b/>
              </w:rPr>
              <w:t xml:space="preserve">可比实例</w:t>
            </w:r>
            <w:r>
              <w:rPr>
                <w:rFonts w:hint="eastAsia"/>
                <w:b/>
              </w:rPr>
              <w:t xml:space="preserve">B</w:t>
            </w:r>
          </w:p>
        </w:tc>
        <w:tc>
          <w:tcPr>
            <w:tcW w:w="779" w:type="pct"/>
            <w:shd w:val="clear" w:color="auto" w:fill="FFFFFF"/>
            <w:vAlign w:val="center"/>
          </w:tcPr>
          <w:p>
            <w:pPr>
              <w:jc w:val="center"/>
              <w:rPr>
                <w:b/>
              </w:rPr>
            </w:pPr>
            <w:r>
              <w:rPr>
                <w:rFonts w:hint="eastAsia"/>
                <w:b/>
              </w:rPr>
              <w:t xml:space="preserve">可比实例</w:t>
            </w:r>
            <w:r>
              <w:rPr>
                <w:rFonts w:hint="eastAsia"/>
                <w:b/>
              </w:rPr>
              <w:t xml:space="preserve">C</w:t>
            </w:r>
          </w:p>
        </w:tc>
        <w:tc>
          <w:tcPr>
            <w:tcW w:w="779" w:type="pct"/>
            <w:shd w:val="clear" w:color="auto" w:fill="FFFFFF"/>
            <w:vAlign w:val="center"/>
          </w:tcPr>
          <w:p>
            <w:pPr>
              <w:jc w:val="center"/>
              <w:rPr>
                <w:b/>
              </w:rPr>
            </w:pPr>
            <w:r>
              <w:rPr>
                <w:rFonts w:hint="eastAsia"/>
                <w:b/>
              </w:rPr>
              <w:t xml:space="preserve">可比实例</w:t>
            </w:r>
            <w:r>
              <w:rPr>
                <w:rFonts w:hint="eastAsia"/>
                <w:b/>
              </w:rPr>
              <w:t xml:space="preserve">D</w:t>
            </w:r>
          </w:p>
        </w:tc>
      </w:tr>
      <w:tr>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2024年03月23日</w:t>
            </w:r>
          </w:p>
        </w:tc>
        <w:tc>
          <w:tcPr>
            <w:tcW w:w="778" w:type="pct"/>
            <w:shd w:val="clear" w:color="auto" w:fill="FFFFFF"/>
            <w:vAlign w:val="center"/>
          </w:tcPr>
          <w:p>
            <w:pPr>
              <w:jc w:val="center"/>
              <w:rPr/>
            </w:pPr>
            <w:r>
              <w:rPr>
                <w:rFonts w:hint="eastAsia" w:ascii="宋体" w:hAnsi="宋体" w:cs="宋体"/>
              </w:rPr>
              <w:t xml:space="preserve">2023年11月</w:t>
            </w:r>
          </w:p>
        </w:tc>
        <w:tc>
          <w:tcPr>
            <w:tcW w:w="779" w:type="pct"/>
            <w:shd w:val="clear" w:color="auto" w:fill="FFFFFF"/>
            <w:vAlign w:val="center"/>
          </w:tcPr>
          <w:p>
            <w:pPr>
              <w:jc w:val="center"/>
              <w:rPr/>
            </w:pPr>
            <w:r>
              <w:rPr>
                <w:rFonts w:hint="eastAsia" w:ascii="宋体" w:hAnsi="宋体" w:cs="宋体"/>
              </w:rPr>
              <w:t xml:space="preserve">2023年10月</w:t>
            </w:r>
          </w:p>
        </w:tc>
        <w:tc>
          <w:tcPr>
            <w:tcW w:w="779" w:type="pct"/>
            <w:shd w:val="clear" w:color="auto" w:fill="FFFFFF"/>
            <w:vAlign w:val="center"/>
          </w:tcPr>
          <w:p>
            <w:pPr>
              <w:jc w:val="center"/>
              <w:rPr/>
            </w:pPr>
            <w:r>
              <w:rPr>
                <w:rFonts w:hint="eastAsia" w:ascii="宋体" w:hAnsi="宋体" w:cs="宋体"/>
              </w:rPr>
              <w:t xml:space="preserve">2023年08月</w:t>
            </w:r>
          </w:p>
        </w:tc>
        <w:tc>
          <w:tcPr>
            <w:tcW w:w="779" w:type="pct"/>
            <w:shd w:val="clear" w:color="auto" w:fill="FFFFFF"/>
            <w:vAlign w:val="center"/>
          </w:tcPr>
          <w:p>
            <w:pPr>
              <w:jc w:val="center"/>
              <w:rPr/>
            </w:pPr>
            <w:r>
              <w:rPr>
                <w:rFonts w:hint="eastAsia" w:ascii="宋体" w:hAnsi="宋体" w:cs="宋体"/>
              </w:rPr>
              <w:t xml:space="preserve">2023年12月</w:t>
            </w:r>
          </w:p>
        </w:tc>
      </w:tr>
      <w:tr>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5807</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5818</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5959</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5728</w:t>
            </w:r>
          </w:p>
        </w:tc>
      </w:tr>
      <w:tr>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rPr/>
            </w:pPr>
            <w:r>
              <w:rPr>
                <w:rFonts w:hint="eastAsia" w:ascii="宋体" w:hAnsi="宋体" w:cs="宋体"/>
              </w:rPr>
              <w:t xml:space="preserve">1971</w:t>
            </w:r>
          </w:p>
        </w:tc>
        <w:tc>
          <w:tcPr>
            <w:tcW w:w="778" w:type="pct"/>
            <w:shd w:val="clear" w:color="auto" w:fill="FFFFFF"/>
            <w:vAlign w:val="center"/>
          </w:tcPr>
          <w:p>
            <w:pPr>
              <w:jc w:val="center"/>
              <w:rPr/>
            </w:pPr>
            <w:r>
              <w:rPr>
                <w:rFonts w:hint="eastAsia" w:ascii="宋体" w:hAnsi="宋体" w:cs="宋体"/>
              </w:rPr>
              <w:t xml:space="preserve">2046</w:t>
            </w:r>
          </w:p>
        </w:tc>
        <w:tc>
          <w:tcPr>
            <w:tcW w:w="779" w:type="pct"/>
            <w:shd w:val="clear" w:color="auto" w:fill="FFFFFF"/>
            <w:vAlign w:val="center"/>
          </w:tcPr>
          <w:p>
            <w:pPr>
              <w:jc w:val="center"/>
              <w:rPr/>
            </w:pPr>
            <w:r>
              <w:rPr>
                <w:rFonts w:hint="eastAsia" w:ascii="宋体" w:hAnsi="宋体" w:cs="宋体"/>
              </w:rPr>
              <w:t xml:space="preserve">2046</w:t>
            </w:r>
          </w:p>
        </w:tc>
        <w:tc>
          <w:tcPr>
            <w:tcW w:w="779" w:type="pct"/>
            <w:shd w:val="clear" w:color="auto" w:fill="FFFFFF"/>
            <w:vAlign w:val="center"/>
          </w:tcPr>
          <w:p>
            <w:pPr>
              <w:jc w:val="center"/>
              <w:rPr/>
            </w:pPr>
            <w:r>
              <w:rPr>
                <w:rFonts w:hint="eastAsia" w:ascii="宋体" w:hAnsi="宋体" w:cs="宋体"/>
              </w:rPr>
              <w:t xml:space="preserve">2072</w:t>
            </w:r>
          </w:p>
        </w:tc>
        <w:tc>
          <w:tcPr>
            <w:tcW w:w="779" w:type="pct"/>
            <w:shd w:val="clear" w:color="auto" w:fill="FFFFFF"/>
            <w:vAlign w:val="center"/>
          </w:tcPr>
          <w:p>
            <w:pPr>
              <w:jc w:val="center"/>
              <w:rPr/>
            </w:pPr>
            <w:r>
              <w:rPr>
                <w:rFonts w:hint="eastAsia" w:ascii="宋体" w:hAnsi="宋体" w:cs="宋体"/>
              </w:rPr>
              <w:t xml:space="preserve">2048</w:t>
            </w:r>
          </w:p>
        </w:tc>
      </w:tr>
      <w:tr>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1971/1971</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1971/2046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1971/2046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1971/2072</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1971/2048</w:t>
            </w:r>
          </w:p>
        </w:tc>
      </w:tr>
      <w:tr>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rPr/>
            </w:pPr>
            <w:r>
              <w:rPr>
                <w:rFonts w:hint="eastAsia" w:ascii="宋体" w:hAnsi="宋体" w:cs="宋体"/>
              </w:rPr>
              <w:t xml:space="preserve">1.0000</w:t>
            </w:r>
          </w:p>
        </w:tc>
        <w:tc>
          <w:tcPr>
            <w:tcW w:w="778" w:type="pct"/>
            <w:shd w:val="clear" w:color="auto" w:fill="FFFFFF"/>
            <w:vAlign w:val="center"/>
          </w:tcPr>
          <w:p>
            <w:pPr>
              <w:jc w:val="center"/>
              <w:rPr/>
            </w:pPr>
            <w:r>
              <w:rPr>
                <w:rFonts w:hint="eastAsia" w:ascii="宋体" w:hAnsi="宋体" w:cs="宋体"/>
              </w:rPr>
              <w:t xml:space="preserve">0.963</w:t>
            </w:r>
          </w:p>
        </w:tc>
        <w:tc>
          <w:tcPr>
            <w:tcW w:w="779" w:type="pct"/>
            <w:shd w:val="clear" w:color="auto" w:fill="FFFFFF"/>
            <w:vAlign w:val="center"/>
          </w:tcPr>
          <w:p>
            <w:pPr>
              <w:jc w:val="center"/>
              <w:rPr/>
            </w:pPr>
            <w:r>
              <w:rPr>
                <w:rFonts w:hint="eastAsia" w:ascii="宋体" w:hAnsi="宋体" w:cs="宋体"/>
              </w:rPr>
              <w:t xml:space="preserve">0.963</w:t>
            </w:r>
          </w:p>
        </w:tc>
        <w:tc>
          <w:tcPr>
            <w:tcW w:w="779" w:type="pct"/>
            <w:shd w:val="clear" w:color="auto" w:fill="FFFFFF"/>
            <w:vAlign w:val="center"/>
          </w:tcPr>
          <w:p>
            <w:pPr>
              <w:jc w:val="center"/>
              <w:rPr/>
            </w:pPr>
            <w:r>
              <w:rPr>
                <w:rFonts w:hint="eastAsia" w:ascii="宋体" w:hAnsi="宋体" w:cs="宋体"/>
              </w:rPr>
              <w:t xml:space="preserve">0.951</w:t>
            </w:r>
          </w:p>
        </w:tc>
        <w:tc>
          <w:tcPr>
            <w:tcW w:w="779" w:type="pct"/>
            <w:shd w:val="clear" w:color="auto" w:fill="FFFFFF"/>
            <w:vAlign w:val="center"/>
          </w:tcPr>
          <w:p>
            <w:pPr>
              <w:jc w:val="center"/>
              <w:rPr/>
            </w:pPr>
            <w:r>
              <w:rPr>
                <w:rFonts w:hint="eastAsia" w:ascii="宋体" w:hAnsi="宋体" w:cs="宋体"/>
              </w:rPr>
              <w:t xml:space="preserve">0.963</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备注：在价值时点2024年04月23日</w:t>
      </w:r>
      <w:r>
        <w:rPr>
          <w:rFonts w:hint="eastAsia" w:ascii="宋体" w:hAnsi="宋体" w:cs="宋体"/>
          <w:sz w:val="24"/>
          <w:szCs w:val="24"/>
        </w:rPr>
        <w:t xml:space="preserve">，2024年04月份价格指数尚未公布，本次估价采用2024年03月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2" w:firstLineChars="200"/>
        <w:rPr>
          <w:rFonts w:ascii="宋体" w:hAnsi="宋体" w:cs="宋体"/>
          <w:b/>
          <w:sz w:val="21"/>
          <w:szCs w:val="21"/>
        </w:rPr>
      </w:pPr>
      <w:bookmarkStart w:name="_Toc351596835" w:id="15"/>
      <w:bookmarkStart w:name="_Toc352325665" w:id="16"/>
      <w:r>
        <w:rPr>
          <w:rFonts w:hint="eastAsia" w:ascii="宋体" w:hAnsi="宋体" w:cs="宋体"/>
          <w:b/>
          <w:sz w:val="21"/>
          <w:szCs w:val="21"/>
        </w:rPr>
        <w:t xml:space="preserve">（1）住宅房屋层次因素系数表</w:t>
      </w:r>
      <w:bookmarkEnd w:id="15"/>
      <w:bookmarkEnd w:id="16"/>
    </w:p>
    <w:p>
      <w:pPr>
        <w:spacing w:line="440" w:lineRule="exact"/>
        <w:ind w:firstLine="480" w:firstLineChars="200"/>
        <w:rPr>
          <w:sz w:val="24"/>
        </w:rPr>
      </w:pPr>
      <w:r>
        <w:rPr>
          <w:sz w:val="24"/>
        </w:rPr>
        <w:t xml:space="preserve">A</w:t>
      </w:r>
      <w:r>
        <w:rPr>
          <w:sz w:val="24"/>
        </w:rPr>
        <w:t xml:space="preserve">、</w:t>
      </w:r>
      <w:r>
        <w:rPr>
          <w:rFonts w:hint="eastAsia"/>
          <w:sz w:val="24"/>
        </w:rPr>
        <w:t xml:space="preserve">（普通多层，对应代码：</w:t>
      </w:r>
      <w:r>
        <w:rPr>
          <w:rFonts w:hint="eastAsia"/>
          <w:sz w:val="24"/>
        </w:rPr>
        <w:t xml:space="preserve">111</w:t>
      </w:r>
      <w:r>
        <w:rPr>
          <w:rFonts w:hint="eastAsia"/>
          <w:sz w:val="24"/>
        </w:rPr>
        <w:t xml:space="preserve">）</w:t>
      </w:r>
    </w:p>
    <w:tbl>
      <w:tblPr>
        <w:tblStyle w:val="NormalTable"/>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890"/>
        <w:gridCol w:w="818"/>
        <w:gridCol w:w="709"/>
        <w:gridCol w:w="992"/>
        <w:gridCol w:w="992"/>
        <w:gridCol w:w="1057"/>
        <w:gridCol w:w="1080"/>
        <w:gridCol w:w="1080"/>
      </w:tblGrid>
      <w:tr>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w:t>
            </w:r>
            <w:r>
              <w:rPr>
                <w:b/>
                <w:bCs/>
                <w:kern w:val="2"/>
                <w:sz w:val="21"/>
                <w:szCs w:val="21"/>
              </w:rPr>
              <w:t xml:space="preserve">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w:t>
            </w:r>
            <w:r>
              <w:rPr>
                <w:b/>
                <w:bCs/>
                <w:kern w:val="2"/>
                <w:sz w:val="21"/>
                <w:szCs w:val="21"/>
              </w:rPr>
              <w:t xml:space="preserve">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w:t>
            </w:r>
            <w:r>
              <w:rPr>
                <w:b/>
                <w:bCs/>
                <w:kern w:val="2"/>
                <w:sz w:val="21"/>
                <w:szCs w:val="21"/>
              </w:rPr>
              <w:t xml:space="preserve">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w:t>
            </w:r>
            <w:r>
              <w:rPr>
                <w:b/>
                <w:bCs/>
                <w:kern w:val="2"/>
                <w:sz w:val="21"/>
                <w:szCs w:val="21"/>
              </w:rPr>
              <w:t xml:space="preserve">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w:t>
            </w:r>
            <w:r>
              <w:rPr>
                <w:b/>
                <w:bCs/>
                <w:kern w:val="2"/>
                <w:sz w:val="21"/>
                <w:szCs w:val="21"/>
              </w:rPr>
              <w:t xml:space="preserve">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w:t>
            </w:r>
            <w:r>
              <w:rPr>
                <w:b/>
                <w:bCs/>
                <w:kern w:val="2"/>
                <w:sz w:val="21"/>
                <w:szCs w:val="21"/>
              </w:rPr>
              <w:t xml:space="preserve">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w:t>
            </w:r>
            <w:r>
              <w:rPr>
                <w:b/>
                <w:bCs/>
                <w:kern w:val="2"/>
                <w:sz w:val="21"/>
                <w:szCs w:val="21"/>
              </w:rPr>
              <w:t xml:space="preserve">层</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101</w:t>
            </w:r>
            <w:r>
              <w:rPr>
                <w:rFonts w:hint="eastAsia" w:eastAsia="宋体" w:eastAsiaTheme="minorEastAsia"/>
                <w:sz w:val="21"/>
              </w:rPr>
              <w:t xml:space="preserve">）</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101</w:t>
            </w:r>
            <w:r>
              <w:rPr>
                <w:rFonts w:hint="eastAsia" w:eastAsia="宋体" w:eastAsiaTheme="minorEastAsia"/>
                <w:sz w:val="21"/>
              </w:rPr>
              <w:t xml:space="preserve">）</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100.5</w:t>
            </w:r>
            <w:r>
              <w:rPr>
                <w:rFonts w:hint="eastAsia" w:eastAsia="宋体" w:eastAsiaTheme="minorEastAsia"/>
                <w:sz w:val="21"/>
              </w:rPr>
              <w:t xml:space="preserve">）</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100.5</w:t>
            </w:r>
            <w:r>
              <w:rPr>
                <w:rFonts w:hint="eastAsia" w:eastAsia="宋体" w:eastAsiaTheme="minorEastAsia"/>
                <w:sz w:val="21"/>
              </w:rPr>
              <w:t xml:space="preserve">）</w:t>
            </w:r>
          </w:p>
        </w:tc>
        <w:tc>
          <w:tcPr>
            <w:tcW w:w="1080" w:type="dxa"/>
          </w:tcPr>
          <w:p>
            <w:pPr>
              <w:jc w:val="center"/>
              <w:rPr>
                <w:rFonts w:eastAsia="宋体" w:eastAsiaTheme="minorEastAsia"/>
                <w:sz w:val="21"/>
              </w:rPr>
            </w:pPr>
            <w:r>
              <w:rPr>
                <w:rFonts w:eastAsia="宋体" w:eastAsiaTheme="minorEastAsia"/>
                <w:sz w:val="21"/>
              </w:rPr>
              <w:t xml:space="preserve">100</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w:t>
      </w:r>
      <w:r>
        <w:rPr>
          <w:sz w:val="24"/>
        </w:rPr>
        <w:t xml:space="preserve">、电梯多层、小高层、高层</w:t>
      </w:r>
      <w:r>
        <w:rPr>
          <w:rFonts w:hint="eastAsia"/>
          <w:sz w:val="24"/>
        </w:rPr>
        <w:t xml:space="preserve">（对应代码：</w:t>
      </w:r>
      <w:r>
        <w:rPr>
          <w:rFonts w:hint="eastAsia"/>
          <w:sz w:val="24"/>
        </w:rPr>
        <w:t xml:space="preserve">112</w:t>
      </w:r>
      <w:r>
        <w:rPr>
          <w:rFonts w:hint="eastAsia"/>
          <w:sz w:val="24"/>
        </w:rPr>
        <w:t xml:space="preserve">、</w:t>
      </w:r>
      <w:r>
        <w:rPr>
          <w:rFonts w:hint="eastAsia"/>
          <w:sz w:val="24"/>
        </w:rPr>
        <w:t xml:space="preserve">113</w:t>
      </w:r>
      <w:r>
        <w:rPr>
          <w:rFonts w:hint="eastAsia"/>
          <w:sz w:val="24"/>
        </w:rPr>
        <w:t xml:space="preserve">、</w:t>
      </w:r>
      <w:r>
        <w:rPr>
          <w:rFonts w:hint="eastAsia"/>
          <w:sz w:val="24"/>
        </w:rPr>
        <w:t xml:space="preserve">114</w:t>
      </w:r>
      <w:r>
        <w:rPr>
          <w:rFonts w:hint="eastAsia"/>
          <w:sz w:val="24"/>
        </w:rPr>
        <w:t xml:space="preserve">）</w:t>
      </w:r>
    </w:p>
    <w:p>
      <w:pPr>
        <w:spacing w:line="440" w:lineRule="exact"/>
        <w:ind w:firstLine="480" w:firstLineChars="200"/>
        <w:rPr>
          <w:sz w:val="24"/>
        </w:rPr>
      </w:pPr>
      <w:r>
        <w:rPr>
          <w:rFonts w:hint="eastAsia"/>
          <w:sz w:val="24"/>
        </w:rPr>
        <w:t xml:space="preserve">以第</w:t>
      </w:r>
      <w:r>
        <w:rPr>
          <w:rFonts w:hint="eastAsia"/>
          <w:sz w:val="24"/>
        </w:rPr>
        <w:t xml:space="preserve">1</w:t>
      </w:r>
      <w:r>
        <w:rPr>
          <w:rFonts w:hint="eastAsia"/>
          <w:sz w:val="24"/>
        </w:rPr>
        <w:t xml:space="preserve">层或者基准层为基础，系数取</w:t>
      </w:r>
      <w:r>
        <w:rPr>
          <w:rFonts w:hint="eastAsia"/>
          <w:sz w:val="24"/>
        </w:rPr>
        <w:t xml:space="preserve">100</w:t>
      </w:r>
      <w:r>
        <w:rPr>
          <w:rFonts w:hint="eastAsia"/>
          <w:sz w:val="24"/>
        </w:rPr>
        <w:t xml:space="preserve">或者按照基准层系数如实填写，每上升一层加</w:t>
      </w:r>
      <w:r>
        <w:rPr>
          <w:rFonts w:hint="eastAsia"/>
          <w:sz w:val="24"/>
        </w:rPr>
        <w:t xml:space="preserve">0.5%</w:t>
      </w:r>
      <w:r>
        <w:rPr>
          <w:rFonts w:hint="eastAsia"/>
          <w:sz w:val="24"/>
        </w:rPr>
        <w:t xml:space="preserve">，每下降一层减</w:t>
      </w:r>
      <w:r>
        <w:rPr>
          <w:rFonts w:hint="eastAsia"/>
          <w:sz w:val="24"/>
        </w:rPr>
        <w:t xml:space="preserve">0.5%</w:t>
      </w:r>
      <w:r>
        <w:rPr>
          <w:rFonts w:hint="eastAsia"/>
          <w:sz w:val="24"/>
        </w:rPr>
        <w:t xml:space="preserve">，</w:t>
      </w:r>
      <w:r>
        <w:rPr>
          <w:rFonts w:hint="eastAsia"/>
          <w:sz w:val="24"/>
        </w:rPr>
        <w:t xml:space="preserve">20</w:t>
      </w:r>
      <w:r>
        <w:rPr>
          <w:rFonts w:hint="eastAsia"/>
          <w:sz w:val="24"/>
        </w:rPr>
        <w:t xml:space="preserve">层以上每上升一层加</w:t>
      </w:r>
      <w:r>
        <w:rPr>
          <w:rFonts w:hint="eastAsia"/>
          <w:sz w:val="24"/>
        </w:rPr>
        <w:t xml:space="preserve">0.25%</w:t>
      </w:r>
      <w:r>
        <w:rPr>
          <w:rFonts w:hint="eastAsia"/>
          <w:sz w:val="24"/>
        </w:rPr>
        <w:t xml:space="preserve">，顶层同顶层</w:t>
      </w:r>
      <w:r>
        <w:rPr>
          <w:rFonts w:hint="eastAsia"/>
          <w:sz w:val="24"/>
        </w:rPr>
        <w:t xml:space="preserve">-1</w:t>
      </w:r>
      <w:r>
        <w:rPr>
          <w:rFonts w:hint="eastAsia"/>
          <w:sz w:val="24"/>
        </w:rPr>
        <w:t xml:space="preserve">层。</w:t>
      </w:r>
    </w:p>
    <w:p>
      <w:pPr>
        <w:spacing w:line="440" w:lineRule="exact"/>
        <w:ind w:firstLine="422" w:firstLineChars="200"/>
        <w:rPr>
          <w:rFonts w:ascii="宋体" w:hAnsi="宋体" w:cs="宋体"/>
          <w:b/>
          <w:sz w:val="21"/>
          <w:szCs w:val="21"/>
        </w:rPr>
      </w:pPr>
      <w:bookmarkStart w:name="_Toc351596836" w:id="17"/>
      <w:bookmarkStart w:name="_Toc352325666" w:id="18"/>
      <w:r>
        <w:rPr>
          <w:rFonts w:hint="eastAsia" w:ascii="宋体" w:hAnsi="宋体" w:cs="宋体"/>
          <w:b/>
          <w:sz w:val="21"/>
          <w:szCs w:val="21"/>
        </w:rPr>
        <w:t xml:space="preserve">（2）住宅结构因素修正系数表</w:t>
      </w:r>
      <w:bookmarkEnd w:id="17"/>
      <w:bookmarkEnd w:id="18"/>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130"/>
        <w:gridCol w:w="2130"/>
        <w:gridCol w:w="2131"/>
        <w:gridCol w:w="2131"/>
      </w:tblGrid>
      <w:tr>
        <w:trPr>
          <w:trHeight w:val="60"/>
        </w:trPr>
        <w:tc>
          <w:tcPr>
            <w:tcW w:w="2130" w:type="dxa"/>
            <w:vAlign w:val="center"/>
          </w:tcPr>
          <w:p>
            <w:pPr>
              <w:jc w:val="center"/>
              <w:rPr>
                <w:sz w:val="21"/>
                <w:szCs w:val="21"/>
              </w:rPr>
            </w:pPr>
            <w:bookmarkStart w:name="_Toc352325667" w:id="19"/>
            <w:bookmarkStart w:name="_Toc351596837" w:id="20"/>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19"/>
      <w:bookmarkEnd w:id="20"/>
    </w:p>
    <w:p>
      <w:pPr>
        <w:rPr>
          <w:vanish/>
          <w:sz w:val="21"/>
          <w:szCs w:val="21"/>
        </w:rPr>
      </w:pPr>
      <w:bookmarkStart w:name="_Toc352325668" w:id="21"/>
      <w:bookmarkStart w:name="_Toc351596838" w:id="22"/>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597"/>
        <w:gridCol w:w="653"/>
        <w:gridCol w:w="653"/>
        <w:gridCol w:w="653"/>
        <w:gridCol w:w="1324"/>
        <w:gridCol w:w="1324"/>
        <w:gridCol w:w="1318"/>
      </w:tblGrid>
      <w:tr>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rPr/>
            </w:pPr>
            <w:r>
              <w:t xml:space="preserve">96</w:t>
            </w:r>
          </w:p>
        </w:tc>
        <w:tc>
          <w:tcPr>
            <w:tcW w:w="653" w:type="dxa"/>
          </w:tcPr>
          <w:p>
            <w:pPr>
              <w:jc w:val="center"/>
              <w:rPr/>
            </w:pPr>
            <w:r>
              <w:t xml:space="preserve">98</w:t>
            </w:r>
          </w:p>
        </w:tc>
        <w:tc>
          <w:tcPr>
            <w:tcW w:w="653" w:type="dxa"/>
          </w:tcPr>
          <w:p>
            <w:pPr>
              <w:jc w:val="center"/>
              <w:rPr/>
            </w:pPr>
            <w:r>
              <w:t xml:space="preserve">99</w:t>
            </w:r>
          </w:p>
        </w:tc>
        <w:tc>
          <w:tcPr>
            <w:tcW w:w="1324" w:type="dxa"/>
          </w:tcPr>
          <w:p>
            <w:pPr>
              <w:jc w:val="center"/>
              <w:rPr/>
            </w:pPr>
            <w:r>
              <w:t xml:space="preserve">100</w:t>
            </w:r>
          </w:p>
        </w:tc>
        <w:tc>
          <w:tcPr>
            <w:tcW w:w="1324" w:type="dxa"/>
          </w:tcPr>
          <w:p>
            <w:pPr>
              <w:jc w:val="center"/>
              <w:rPr/>
            </w:pPr>
            <w:r>
              <w:t xml:space="preserve">101</w:t>
            </w:r>
          </w:p>
        </w:tc>
        <w:tc>
          <w:tcPr>
            <w:tcW w:w="1318" w:type="dxa"/>
          </w:tcPr>
          <w:p>
            <w:pPr>
              <w:jc w:val="center"/>
              <w:rPr/>
            </w:pPr>
            <w:r>
              <w:t xml:space="preserve">102</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（4）</w:t>
      </w:r>
      <w:bookmarkEnd w:id="21"/>
      <w:bookmarkEnd w:id="22"/>
      <w:r>
        <w:rPr>
          <w:rFonts w:hint="eastAsia" w:ascii="宋体" w:hAnsi="宋体" w:cs="宋体"/>
          <w:b/>
          <w:sz w:val="21"/>
          <w:szCs w:val="21"/>
        </w:rPr>
        <w:t xml:space="preserve">住宅装修档次分档标准</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698"/>
        <w:gridCol w:w="1708"/>
        <w:gridCol w:w="1698"/>
        <w:gridCol w:w="1708"/>
        <w:gridCol w:w="1710"/>
      </w:tblGrid>
      <w:tr>
        <w:trPr>
          <w:trHeight w:val="60"/>
        </w:trPr>
        <w:tc>
          <w:tcPr>
            <w:tcW w:w="1698" w:type="dxa"/>
          </w:tcPr>
          <w:p>
            <w:pPr>
              <w:jc w:val="center"/>
              <w:rPr>
                <w:sz w:val="21"/>
                <w:szCs w:val="21"/>
              </w:rPr>
            </w:pPr>
            <w:bookmarkStart w:name="_Toc351596840" w:id="23"/>
            <w:bookmarkStart w:name="_Toc352325669" w:id="24"/>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3"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o:spid="_x0000_i0037" o:bordertopcolor="this" o:borderleftcolor="this" o:borderbottomcolor="this" o:borderrightcolor="this" o:oleicon="f" o:ole="" type="#_x0000_t75">
            <v:imagedata o:title="" r:id="rId12"/>
            <o:lock v:ext="edit" aspectratio="t"/>
          </v:shape>
          <o:OLEObject Type="Embed" ProgID="Equation.3" ShapeID="_x0000_i0003" DrawAspect="Content" ObjectID="_1752794176" r:id="rId13"/>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EQ</w:instrText>
      </w:r>
      <w:r>
        <w:rPr>
          <w:rFonts w:ascii="宋体" w:hAnsi="宋体" w:cs="宋体"/>
          <w:sz w:val="21"/>
          <w:szCs w:val="21"/>
        </w:rPr>
        <w:instrText xml:space="preserve">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（5）住宅成新因素修正系数表</w:t>
      </w:r>
      <w:bookmarkEnd w:id="23"/>
      <w:bookmarkEnd w:id="24"/>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693"/>
        <w:gridCol w:w="4617"/>
        <w:gridCol w:w="2212"/>
      </w:tblGrid>
      <w:tr>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5%</w:t>
            </w:r>
          </w:p>
        </w:tc>
      </w:tr>
      <w:tr>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w:t>
            </w:r>
            <w:r>
              <w:rPr>
                <w:rFonts w:hint="eastAsia"/>
                <w:sz w:val="21"/>
                <w:szCs w:val="21"/>
              </w:rPr>
              <w:t xml:space="preserve">1</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0-4</w:t>
            </w:r>
            <w:r>
              <w:rPr>
                <w:rFonts w:hint="eastAsia"/>
                <w:sz w:val="21"/>
                <w:szCs w:val="21"/>
              </w:rPr>
              <w:t xml:space="preserve">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w:t>
            </w:r>
            <w:r>
              <w:rPr>
                <w:rFonts w:hint="eastAsia"/>
                <w:sz w:val="21"/>
                <w:szCs w:val="21"/>
              </w:rPr>
              <w:t xml:space="preserve">1%</w:t>
            </w:r>
            <w:r>
              <w:rPr>
                <w:rFonts w:hint="eastAsia"/>
                <w:sz w:val="21"/>
                <w:szCs w:val="21"/>
              </w:rPr>
              <w:t xml:space="preserve">，此外，视房屋保养情况好坏，可增减</w:t>
            </w:r>
            <w:r>
              <w:rPr>
                <w:rFonts w:hint="eastAsia"/>
                <w:sz w:val="21"/>
                <w:szCs w:val="21"/>
              </w:rPr>
              <w:t xml:space="preserve">1%</w:t>
            </w:r>
            <w:r>
              <w:rPr>
                <w:rFonts w:hint="eastAsia"/>
                <w:sz w:val="21"/>
                <w:szCs w:val="21"/>
              </w:rPr>
              <w:t xml:space="preserve">～</w:t>
            </w:r>
            <w:r>
              <w:rPr>
                <w:rFonts w:hint="eastAsia"/>
                <w:sz w:val="21"/>
                <w:szCs w:val="21"/>
              </w:rPr>
              <w:t xml:space="preserve">2%</w:t>
            </w:r>
          </w:p>
        </w:tc>
      </w:tr>
      <w:tr>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2</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5-8</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3</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9-12</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4</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13-16</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5</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17-20</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6</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20</w:t>
            </w:r>
            <w:r>
              <w:rPr>
                <w:rFonts w:hint="eastAsia"/>
                <w:sz w:val="21"/>
                <w:szCs w:val="21"/>
              </w:rPr>
              <w:t xml:space="preserve">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2"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83"/>
        <w:gridCol w:w="1977"/>
        <w:gridCol w:w="2131"/>
        <w:gridCol w:w="2131"/>
      </w:tblGrid>
      <w:tr>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83"/>
        <w:gridCol w:w="1977"/>
        <w:gridCol w:w="2131"/>
        <w:gridCol w:w="2131"/>
      </w:tblGrid>
      <w:tr>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0" w:type="dxa"/>
          <w:right w:w="0" w:type="dxa"/>
        </w:tblCellMar>
        <w:tblLook w:val="04A0" w:firstRow="1" w:lastRow="0" w:firstColumn="1" w:lastColumn="0" w:noHBand="0" w:noVBand="1"/>
      </w:tblPr>
      <w:tblGrid>
        <w:gridCol w:w="474"/>
        <w:gridCol w:w="1241"/>
        <w:gridCol w:w="2931"/>
        <w:gridCol w:w="736"/>
        <w:gridCol w:w="736"/>
        <w:gridCol w:w="736"/>
        <w:gridCol w:w="736"/>
        <w:gridCol w:w="736"/>
      </w:tblGrid>
      <w:tr>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432"/>
        <w:gridCol w:w="811"/>
        <w:gridCol w:w="994"/>
        <w:gridCol w:w="1704"/>
        <w:gridCol w:w="423"/>
        <w:gridCol w:w="1987"/>
        <w:gridCol w:w="424"/>
        <w:gridCol w:w="1747"/>
      </w:tblGrid>
      <w:tr>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w:t>
            </w:r>
            <w:r>
              <w:rPr>
                <w:kern w:val="2"/>
                <w:sz w:val="21"/>
                <w:szCs w:val="21"/>
              </w:rPr>
              <w:t xml:space="preserve">200</w:t>
            </w:r>
            <w:r>
              <w:rPr>
                <w:kern w:val="2"/>
                <w:sz w:val="21"/>
                <w:szCs w:val="21"/>
              </w:rPr>
              <w:t xml:space="preserve">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w:t>
            </w:r>
            <w:r>
              <w:rPr>
                <w:kern w:val="2"/>
                <w:sz w:val="21"/>
                <w:szCs w:val="21"/>
              </w:rPr>
              <w:t xml:space="preserve">150</w:t>
            </w:r>
            <w:r>
              <w:rPr>
                <w:kern w:val="2"/>
                <w:sz w:val="21"/>
                <w:szCs w:val="21"/>
              </w:rPr>
              <w:t xml:space="preserve">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w:t>
            </w:r>
            <w:r>
              <w:rPr>
                <w:kern w:val="2"/>
                <w:sz w:val="21"/>
                <w:szCs w:val="21"/>
              </w:rPr>
              <w:t xml:space="preserve">100</w:t>
            </w:r>
            <w:r>
              <w:rPr>
                <w:kern w:val="2"/>
                <w:sz w:val="21"/>
                <w:szCs w:val="21"/>
              </w:rPr>
              <w:t xml:space="preserve">米内有污染源</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30%-40%</w:t>
            </w:r>
            <w:r>
              <w:rPr>
                <w:kern w:val="2"/>
                <w:sz w:val="21"/>
                <w:szCs w:val="21"/>
              </w:rPr>
              <w:t xml:space="preserve">，外型美观，小区内交通顺畅。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50-60%</w:t>
            </w:r>
            <w:r>
              <w:rPr>
                <w:kern w:val="2"/>
                <w:sz w:val="21"/>
                <w:szCs w:val="21"/>
              </w:rPr>
              <w:t xml:space="preserve">，外型整齐、统一，小区内交通条件一般。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60%</w:t>
            </w:r>
            <w:r>
              <w:rPr>
                <w:kern w:val="2"/>
                <w:sz w:val="21"/>
                <w:szCs w:val="21"/>
              </w:rPr>
              <w:t xml:space="preserve">以上，外型破旧杂乱，小区内交通拥挤。</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w:t>
            </w:r>
            <w:r>
              <w:rPr>
                <w:kern w:val="2"/>
                <w:sz w:val="21"/>
                <w:szCs w:val="21"/>
              </w:rPr>
              <w:t xml:space="preserve">40%</w:t>
            </w:r>
            <w:r>
              <w:rPr>
                <w:kern w:val="2"/>
                <w:sz w:val="21"/>
                <w:szCs w:val="21"/>
              </w:rPr>
              <w:t xml:space="preserve">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w:t>
            </w:r>
            <w:r>
              <w:rPr>
                <w:spacing w:val="20"/>
                <w:kern w:val="2"/>
                <w:sz w:val="21"/>
                <w:szCs w:val="21"/>
              </w:rPr>
              <w:t xml:space="preserve">24</w:t>
            </w:r>
            <w:r>
              <w:rPr>
                <w:spacing w:val="20"/>
                <w:kern w:val="2"/>
                <w:sz w:val="21"/>
                <w:szCs w:val="21"/>
              </w:rPr>
              <w:t xml:space="preserve">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w:t>
            </w:r>
            <w:r>
              <w:rPr>
                <w:kern w:val="2"/>
                <w:sz w:val="21"/>
                <w:szCs w:val="21"/>
              </w:rPr>
              <w:t xml:space="preserve">200</w:t>
            </w:r>
            <w:r>
              <w:rPr>
                <w:kern w:val="2"/>
                <w:sz w:val="21"/>
                <w:szCs w:val="21"/>
              </w:rPr>
              <w:t xml:space="preserve">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w:t>
            </w:r>
            <w:r>
              <w:rPr>
                <w:kern w:val="2"/>
                <w:sz w:val="21"/>
                <w:szCs w:val="21"/>
              </w:rPr>
              <w:t xml:space="preserve">300-500</w:t>
            </w:r>
            <w:r>
              <w:rPr>
                <w:kern w:val="2"/>
                <w:sz w:val="21"/>
                <w:szCs w:val="21"/>
              </w:rPr>
              <w:t xml:space="preserve">米之间。或距次干道距离在</w:t>
            </w:r>
            <w:r>
              <w:rPr>
                <w:kern w:val="2"/>
                <w:sz w:val="21"/>
                <w:szCs w:val="21"/>
              </w:rPr>
              <w:t xml:space="preserve">100-200</w:t>
            </w:r>
            <w:r>
              <w:rPr>
                <w:kern w:val="2"/>
                <w:sz w:val="21"/>
                <w:szCs w:val="21"/>
              </w:rPr>
              <w:t xml:space="preserve">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w:t>
            </w:r>
            <w:r>
              <w:rPr>
                <w:kern w:val="2"/>
                <w:sz w:val="21"/>
                <w:szCs w:val="21"/>
              </w:rPr>
              <w:t xml:space="preserve">700</w:t>
            </w:r>
            <w:r>
              <w:rPr>
                <w:kern w:val="2"/>
                <w:sz w:val="21"/>
                <w:szCs w:val="21"/>
              </w:rPr>
              <w:t xml:space="preserve">米，且距次干道距离大于</w:t>
            </w:r>
            <w:r>
              <w:rPr>
                <w:kern w:val="2"/>
                <w:sz w:val="21"/>
                <w:szCs w:val="21"/>
              </w:rPr>
              <w:t xml:space="preserve">400</w:t>
            </w:r>
            <w:r>
              <w:rPr>
                <w:kern w:val="2"/>
                <w:sz w:val="21"/>
                <w:szCs w:val="21"/>
              </w:rPr>
              <w:t xml:space="preserve">米之间</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w:t>
            </w:r>
            <w:r>
              <w:rPr>
                <w:kern w:val="2"/>
                <w:sz w:val="21"/>
                <w:szCs w:val="21"/>
              </w:rPr>
              <w:t xml:space="preserve">100</w:t>
            </w:r>
            <w:r>
              <w:rPr>
                <w:kern w:val="2"/>
                <w:sz w:val="21"/>
                <w:szCs w:val="21"/>
              </w:rPr>
              <w:t xml:space="preserve">米内，有</w:t>
            </w:r>
            <w:r>
              <w:rPr>
                <w:kern w:val="2"/>
                <w:sz w:val="21"/>
                <w:szCs w:val="21"/>
              </w:rPr>
              <w:t xml:space="preserve">3</w:t>
            </w:r>
            <w:r>
              <w:rPr>
                <w:kern w:val="2"/>
                <w:sz w:val="21"/>
                <w:szCs w:val="21"/>
              </w:rPr>
              <w:t xml:space="preserve">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w:t>
            </w:r>
            <w:r>
              <w:rPr>
                <w:kern w:val="2"/>
                <w:sz w:val="21"/>
                <w:szCs w:val="21"/>
              </w:rPr>
              <w:t xml:space="preserve">300</w:t>
            </w:r>
            <w:r>
              <w:rPr>
                <w:kern w:val="2"/>
                <w:sz w:val="21"/>
                <w:szCs w:val="21"/>
              </w:rPr>
              <w:t xml:space="preserve">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w:t>
            </w:r>
            <w:r>
              <w:rPr>
                <w:kern w:val="2"/>
                <w:sz w:val="21"/>
                <w:szCs w:val="21"/>
              </w:rPr>
              <w:t xml:space="preserve">500</w:t>
            </w:r>
            <w:r>
              <w:rPr>
                <w:kern w:val="2"/>
                <w:sz w:val="21"/>
                <w:szCs w:val="21"/>
              </w:rPr>
              <w:t xml:space="preserve">米以上</w:t>
            </w:r>
          </w:p>
        </w:tc>
      </w:tr>
      <w:tr>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w:t>
            </w:r>
            <w:r>
              <w:rPr>
                <w:kern w:val="2"/>
                <w:sz w:val="21"/>
                <w:szCs w:val="21"/>
              </w:rPr>
              <w:t xml:space="preserve">1000</w:t>
            </w:r>
            <w:r>
              <w:rPr>
                <w:kern w:val="2"/>
                <w:sz w:val="21"/>
                <w:szCs w:val="21"/>
              </w:rPr>
              <w:t xml:space="preserve">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w:t>
            </w:r>
            <w:r>
              <w:rPr>
                <w:kern w:val="2"/>
                <w:sz w:val="21"/>
                <w:szCs w:val="21"/>
              </w:rPr>
              <w:t xml:space="preserve">2000</w:t>
            </w:r>
            <w:r>
              <w:rPr>
                <w:kern w:val="2"/>
                <w:sz w:val="21"/>
                <w:szCs w:val="21"/>
              </w:rPr>
              <w:t xml:space="preserve">米－</w:t>
            </w:r>
            <w:r>
              <w:rPr>
                <w:kern w:val="2"/>
                <w:sz w:val="21"/>
                <w:szCs w:val="21"/>
              </w:rPr>
              <w:t xml:space="preserve">3000</w:t>
            </w:r>
            <w:r>
              <w:rPr>
                <w:kern w:val="2"/>
                <w:sz w:val="21"/>
                <w:szCs w:val="21"/>
              </w:rPr>
              <w:t xml:space="preserve">米或距镇级医院</w:t>
            </w:r>
            <w:r>
              <w:rPr>
                <w:kern w:val="2"/>
                <w:sz w:val="21"/>
                <w:szCs w:val="21"/>
              </w:rPr>
              <w:t xml:space="preserve">1000</w:t>
            </w:r>
            <w:r>
              <w:rPr>
                <w:kern w:val="2"/>
                <w:sz w:val="21"/>
                <w:szCs w:val="21"/>
              </w:rPr>
              <w:t xml:space="preserve">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w:t>
            </w:r>
            <w:r>
              <w:rPr>
                <w:kern w:val="2"/>
                <w:sz w:val="21"/>
                <w:szCs w:val="21"/>
              </w:rPr>
              <w:t xml:space="preserve">4000</w:t>
            </w:r>
            <w:r>
              <w:rPr>
                <w:kern w:val="2"/>
                <w:sz w:val="21"/>
                <w:szCs w:val="21"/>
              </w:rPr>
              <w:t xml:space="preserve">米以上且距镇级医院</w:t>
            </w:r>
            <w:r>
              <w:rPr>
                <w:kern w:val="2"/>
                <w:sz w:val="21"/>
                <w:szCs w:val="21"/>
              </w:rPr>
              <w:t xml:space="preserve">2000</w:t>
            </w:r>
            <w:r>
              <w:rPr>
                <w:kern w:val="2"/>
                <w:sz w:val="21"/>
                <w:szCs w:val="21"/>
              </w:rPr>
              <w:t xml:space="preserve">米以上</w:t>
            </w:r>
          </w:p>
        </w:tc>
      </w:tr>
      <w:tr>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300</w:t>
            </w:r>
            <w:r>
              <w:rPr>
                <w:kern w:val="2"/>
                <w:sz w:val="21"/>
                <w:szCs w:val="21"/>
              </w:rPr>
              <w:t xml:space="preserve">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600</w:t>
            </w:r>
            <w:r>
              <w:rPr>
                <w:kern w:val="2"/>
                <w:sz w:val="21"/>
                <w:szCs w:val="21"/>
              </w:rPr>
              <w:t xml:space="preserve">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1000</w:t>
            </w:r>
            <w:r>
              <w:rPr>
                <w:kern w:val="2"/>
                <w:sz w:val="21"/>
                <w:szCs w:val="21"/>
              </w:rPr>
              <w:t xml:space="preserve">米以上</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w:t>
            </w:r>
            <w:r>
              <w:rPr>
                <w:kern w:val="2"/>
                <w:sz w:val="21"/>
                <w:szCs w:val="21"/>
              </w:rPr>
              <w:t xml:space="preserve">400</w:t>
            </w:r>
            <w:r>
              <w:rPr>
                <w:kern w:val="2"/>
                <w:sz w:val="21"/>
                <w:szCs w:val="21"/>
              </w:rPr>
              <w:t xml:space="preserve">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w:t>
            </w:r>
            <w:r>
              <w:rPr>
                <w:kern w:val="2"/>
                <w:sz w:val="21"/>
                <w:szCs w:val="21"/>
              </w:rPr>
              <w:t xml:space="preserve">600-800</w:t>
            </w:r>
            <w:r>
              <w:rPr>
                <w:kern w:val="2"/>
                <w:sz w:val="21"/>
                <w:szCs w:val="21"/>
              </w:rPr>
              <w:t xml:space="preserve">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w:t>
            </w:r>
            <w:r>
              <w:rPr>
                <w:kern w:val="2"/>
                <w:sz w:val="21"/>
                <w:szCs w:val="21"/>
              </w:rPr>
              <w:t xml:space="preserve">1000</w:t>
            </w:r>
            <w:r>
              <w:rPr>
                <w:kern w:val="2"/>
                <w:sz w:val="21"/>
                <w:szCs w:val="21"/>
              </w:rPr>
              <w:t xml:space="preserve">米范围内基本上无商业网点。</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w:t>
            </w:r>
            <w:r>
              <w:rPr>
                <w:kern w:val="2"/>
                <w:sz w:val="21"/>
                <w:szCs w:val="21"/>
              </w:rPr>
              <w:t xml:space="preserve">400</w:t>
            </w:r>
            <w:r>
              <w:rPr>
                <w:kern w:val="2"/>
                <w:sz w:val="21"/>
                <w:szCs w:val="21"/>
              </w:rPr>
              <w:t xml:space="preserve">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w:t>
            </w:r>
            <w:r>
              <w:rPr>
                <w:kern w:val="2"/>
                <w:sz w:val="21"/>
                <w:szCs w:val="21"/>
              </w:rPr>
              <w:t xml:space="preserve">600-800</w:t>
            </w:r>
            <w:r>
              <w:rPr>
                <w:kern w:val="2"/>
                <w:sz w:val="21"/>
                <w:szCs w:val="21"/>
              </w:rPr>
              <w:t xml:space="preserve">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w:t>
            </w:r>
            <w:r>
              <w:rPr>
                <w:kern w:val="2"/>
                <w:sz w:val="21"/>
                <w:szCs w:val="21"/>
              </w:rPr>
              <w:t xml:space="preserve">1000</w:t>
            </w:r>
            <w:r>
              <w:rPr>
                <w:kern w:val="2"/>
                <w:sz w:val="21"/>
                <w:szCs w:val="21"/>
              </w:rPr>
              <w:t xml:space="preserve">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NormalTable"/>
        <w:tblW w:w="5000" w:type="pct"/>
        <w:jc w:val="center"/>
        <w:tblLook w:val="04A0" w:firstRow="1" w:lastRow="0" w:firstColumn="1" w:lastColumn="0" w:noHBand="0" w:noVBand="1"/>
      </w:tblPr>
      <w:tblGrid>
        <w:gridCol w:w="1806"/>
        <w:gridCol w:w="1416"/>
        <w:gridCol w:w="1325"/>
        <w:gridCol w:w="1325"/>
        <w:gridCol w:w="1325"/>
        <w:gridCol w:w="1325"/>
      </w:tblGrid>
      <w:tr>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吴江区黎里镇胜秀花苑5幢103室普通多层住宅标准房基准价格评估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优瑾新村6幢304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新天地家园8幢204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胜秀花苑11幢604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璟怡花园3幢103</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98.42</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104.5</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96.43</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125.86</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123.8</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99.38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109.61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110.16</w:t>
            </w:r>
          </w:p>
        </w:tc>
      </w:tr>
      <w:tr>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1.0976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0.9952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0.9902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0.9902</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00022</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0.995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0.951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0.962</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1.0517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0.9536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0.937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0.9478</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5807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5818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5959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5728</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6107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5548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5584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5429</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NormalTable"/>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34"/>
        <w:gridCol w:w="1572"/>
        <w:gridCol w:w="1572"/>
        <w:gridCol w:w="1572"/>
        <w:gridCol w:w="1572"/>
      </w:tblGrid>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A</w:t>
            </w:r>
          </w:p>
        </w:tc>
        <w:tc>
          <w:tcPr>
            <w:tcW w:w="922" w:type="pct"/>
            <w:shd w:val="clear" w:color="auto" w:fill="auto"/>
            <w:vAlign w:val="center"/>
          </w:tcPr>
          <w:p>
            <w:pPr>
              <w:jc w:val="center"/>
              <w:rPr>
                <w:rFonts w:ascii="宋体" w:hAnsi="宋体" w:cs="宋体"/>
              </w:rPr>
            </w:pPr>
            <w:r>
              <w:rPr>
                <w:rFonts w:hint="eastAsia"/>
              </w:rPr>
              <w:t xml:space="preserve">可比案例</w:t>
            </w:r>
            <w:r>
              <w:rPr>
                <w:rFonts w:hint="eastAsia"/>
              </w:rPr>
              <w:t xml:space="preserve">B</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C</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D</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5807</w:t>
            </w:r>
          </w:p>
        </w:tc>
        <w:tc>
          <w:tcPr>
            <w:tcW w:w="922" w:type="pct"/>
            <w:shd w:val="clear" w:color="auto" w:fill="auto"/>
            <w:vAlign w:val="center"/>
          </w:tcPr>
          <w:p>
            <w:pPr>
              <w:jc w:val="center"/>
              <w:rPr>
                <w:rFonts w:ascii="宋体" w:hAnsi="宋体" w:cs="宋体"/>
              </w:rPr>
            </w:pPr>
            <w:r>
              <w:rPr>
                <w:rFonts w:hint="eastAsia" w:ascii="宋体" w:hAnsi="宋体" w:cs="宋体"/>
              </w:rPr>
              <w:t xml:space="preserve">5818</w:t>
            </w:r>
          </w:p>
        </w:tc>
        <w:tc>
          <w:tcPr>
            <w:tcW w:w="922" w:type="pct"/>
            <w:shd w:val="clear" w:color="auto" w:fill="auto"/>
            <w:vAlign w:val="center"/>
          </w:tcPr>
          <w:p>
            <w:pPr>
              <w:jc w:val="center"/>
              <w:rPr>
                <w:rFonts w:ascii="宋体" w:hAnsi="宋体" w:cs="宋体"/>
              </w:rPr>
            </w:pPr>
            <w:r>
              <w:rPr>
                <w:rFonts w:hint="eastAsia" w:ascii="宋体" w:hAnsi="宋体" w:cs="宋体"/>
              </w:rPr>
              <w:t xml:space="preserve">5959</w:t>
            </w:r>
          </w:p>
        </w:tc>
        <w:tc>
          <w:tcPr>
            <w:tcW w:w="922" w:type="pct"/>
            <w:shd w:val="clear" w:color="auto" w:fill="auto"/>
            <w:vAlign w:val="center"/>
          </w:tcPr>
          <w:p>
            <w:pPr>
              <w:jc w:val="center"/>
              <w:rPr>
                <w:rFonts w:ascii="宋体" w:hAnsi="宋体" w:cs="宋体"/>
              </w:rPr>
            </w:pPr>
            <w:r>
              <w:rPr>
                <w:rFonts w:hint="eastAsia" w:ascii="宋体" w:hAnsi="宋体" w:cs="宋体"/>
              </w:rPr>
              <w:t xml:space="preserve">5728</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0.963</w:t>
            </w:r>
          </w:p>
        </w:tc>
        <w:tc>
          <w:tcPr>
            <w:tcW w:w="922" w:type="pct"/>
            <w:shd w:val="clear" w:color="auto" w:fill="auto"/>
            <w:vAlign w:val="center"/>
          </w:tcPr>
          <w:p>
            <w:pPr>
              <w:jc w:val="center"/>
              <w:rPr>
                <w:rFonts w:ascii="宋体" w:hAnsi="宋体" w:cs="宋体"/>
              </w:rPr>
            </w:pPr>
            <w:r>
              <w:rPr>
                <w:rFonts w:hint="eastAsia" w:ascii="宋体" w:hAnsi="宋体" w:cs="宋体"/>
              </w:rPr>
              <w:t xml:space="preserve">0.963</w:t>
            </w:r>
          </w:p>
        </w:tc>
        <w:tc>
          <w:tcPr>
            <w:tcW w:w="922" w:type="pct"/>
            <w:shd w:val="clear" w:color="auto" w:fill="auto"/>
            <w:vAlign w:val="center"/>
          </w:tcPr>
          <w:p>
            <w:pPr>
              <w:jc w:val="center"/>
              <w:rPr>
                <w:rFonts w:ascii="宋体" w:hAnsi="宋体" w:cs="宋体"/>
              </w:rPr>
            </w:pPr>
            <w:r>
              <w:rPr>
                <w:rFonts w:hint="eastAsia" w:ascii="宋体" w:hAnsi="宋体" w:cs="宋体"/>
              </w:rPr>
              <w:t xml:space="preserve">0.951</w:t>
            </w:r>
          </w:p>
        </w:tc>
        <w:tc>
          <w:tcPr>
            <w:tcW w:w="922" w:type="pct"/>
            <w:shd w:val="clear" w:color="auto" w:fill="auto"/>
            <w:vAlign w:val="center"/>
          </w:tcPr>
          <w:p>
            <w:pPr>
              <w:jc w:val="center"/>
              <w:rPr>
                <w:rFonts w:ascii="宋体" w:hAnsi="宋体" w:cs="宋体"/>
              </w:rPr>
            </w:pPr>
            <w:r>
              <w:rPr>
                <w:rFonts w:hint="eastAsia" w:ascii="宋体" w:hAnsi="宋体" w:cs="宋体"/>
              </w:rPr>
              <w:t xml:space="preserve">0.962</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109.08/99.38</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109.08/109.61</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109.08/110.16</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109.08/110.16</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100.5/101</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100.5/101</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100.5/101</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100.5/101</w:t>
            </w:r>
          </w:p>
        </w:tc>
      </w:tr>
      <w:tr>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1.0517</w:t>
            </w:r>
          </w:p>
        </w:tc>
        <w:tc>
          <w:tcPr>
            <w:tcW w:w="922" w:type="pct"/>
            <w:shd w:val="clear" w:color="auto" w:fill="auto"/>
            <w:vAlign w:val="center"/>
          </w:tcPr>
          <w:p>
            <w:pPr>
              <w:jc w:val="center"/>
              <w:rPr>
                <w:rFonts w:ascii="宋体" w:hAnsi="宋体" w:cs="宋体"/>
              </w:rPr>
            </w:pPr>
            <w:r>
              <w:rPr>
                <w:rFonts w:hint="eastAsia" w:ascii="宋体" w:hAnsi="宋体" w:cs="宋体"/>
              </w:rPr>
              <w:t xml:space="preserve">0.9536</w:t>
            </w:r>
          </w:p>
        </w:tc>
        <w:tc>
          <w:tcPr>
            <w:tcW w:w="922" w:type="pct"/>
            <w:shd w:val="clear" w:color="auto" w:fill="auto"/>
            <w:vAlign w:val="center"/>
          </w:tcPr>
          <w:p>
            <w:pPr>
              <w:jc w:val="center"/>
              <w:rPr>
                <w:rFonts w:ascii="宋体" w:hAnsi="宋体" w:cs="宋体"/>
              </w:rPr>
            </w:pPr>
            <w:r>
              <w:rPr>
                <w:rFonts w:hint="eastAsia" w:ascii="宋体" w:hAnsi="宋体" w:cs="宋体"/>
              </w:rPr>
              <w:t xml:space="preserve">0.937</w:t>
            </w:r>
          </w:p>
        </w:tc>
        <w:tc>
          <w:tcPr>
            <w:tcW w:w="922" w:type="pct"/>
            <w:shd w:val="clear" w:color="auto" w:fill="auto"/>
            <w:vAlign w:val="center"/>
          </w:tcPr>
          <w:p>
            <w:pPr>
              <w:jc w:val="center"/>
              <w:rPr>
                <w:rFonts w:ascii="宋体" w:hAnsi="宋体" w:cs="宋体"/>
              </w:rPr>
            </w:pPr>
            <w:r>
              <w:rPr>
                <w:rFonts w:hint="eastAsia" w:ascii="宋体" w:hAnsi="宋体" w:cs="宋体"/>
              </w:rPr>
              <w:t xml:space="preserve">0.9478</w:t>
            </w:r>
          </w:p>
        </w:tc>
      </w:tr>
      <w:tr>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6107</w:t>
            </w:r>
          </w:p>
        </w:tc>
        <w:tc>
          <w:tcPr>
            <w:tcW w:w="922" w:type="pct"/>
            <w:shd w:val="clear" w:color="auto" w:fill="auto"/>
            <w:vAlign w:val="center"/>
          </w:tcPr>
          <w:p>
            <w:pPr>
              <w:jc w:val="center"/>
              <w:rPr>
                <w:rFonts w:ascii="宋体" w:hAnsi="宋体" w:cs="宋体"/>
              </w:rPr>
            </w:pPr>
            <w:r>
              <w:rPr>
                <w:rFonts w:hint="eastAsia" w:ascii="宋体" w:hAnsi="宋体" w:cs="宋体"/>
              </w:rPr>
              <w:t xml:space="preserve">5548</w:t>
            </w:r>
          </w:p>
        </w:tc>
        <w:tc>
          <w:tcPr>
            <w:tcW w:w="922" w:type="pct"/>
            <w:shd w:val="clear" w:color="auto" w:fill="auto"/>
            <w:vAlign w:val="center"/>
          </w:tcPr>
          <w:p>
            <w:pPr>
              <w:jc w:val="center"/>
              <w:rPr>
                <w:rFonts w:ascii="宋体" w:hAnsi="宋体" w:cs="宋体"/>
              </w:rPr>
            </w:pPr>
            <w:r>
              <w:rPr>
                <w:rFonts w:hint="eastAsia" w:ascii="宋体" w:hAnsi="宋体" w:cs="宋体"/>
              </w:rPr>
              <w:t xml:space="preserve">5584</w:t>
            </w:r>
          </w:p>
        </w:tc>
        <w:tc>
          <w:tcPr>
            <w:tcW w:w="922" w:type="pct"/>
            <w:shd w:val="clear" w:color="auto" w:fill="auto"/>
            <w:vAlign w:val="center"/>
          </w:tcPr>
          <w:p>
            <w:pPr>
              <w:jc w:val="center"/>
              <w:rPr>
                <w:rFonts w:ascii="宋体" w:hAnsi="宋体" w:cs="宋体"/>
              </w:rPr>
            </w:pPr>
            <w:r>
              <w:rPr>
                <w:rFonts w:hint="eastAsia" w:ascii="宋体" w:hAnsi="宋体" w:cs="宋体"/>
              </w:rPr>
              <w:t xml:space="preserve">5429</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6107</w:t>
            </w:r>
          </w:p>
        </w:tc>
        <w:tc>
          <w:tcPr>
            <w:tcW w:w="922" w:type="pct"/>
            <w:shd w:val="clear" w:color="auto" w:fill="auto"/>
            <w:vAlign w:val="center"/>
          </w:tcPr>
          <w:p>
            <w:pPr>
              <w:jc w:val="center"/>
              <w:rPr>
                <w:rFonts w:ascii="宋体" w:hAnsi="宋体" w:cs="宋体"/>
              </w:rPr>
            </w:pPr>
            <w:r>
              <w:rPr>
                <w:rFonts w:hint="eastAsia" w:ascii="宋体" w:hAnsi="宋体" w:cs="宋体"/>
              </w:rPr>
              <w:t xml:space="preserve">5548</w:t>
            </w:r>
          </w:p>
        </w:tc>
        <w:tc>
          <w:tcPr>
            <w:tcW w:w="922" w:type="pct"/>
            <w:shd w:val="clear" w:color="auto" w:fill="auto"/>
            <w:vAlign w:val="center"/>
          </w:tcPr>
          <w:p>
            <w:pPr>
              <w:jc w:val="center"/>
              <w:rPr>
                <w:rFonts w:ascii="宋体" w:hAnsi="宋体" w:cs="宋体"/>
              </w:rPr>
            </w:pPr>
            <w:r>
              <w:rPr>
                <w:rFonts w:hint="eastAsia" w:ascii="宋体" w:hAnsi="宋体" w:cs="宋体"/>
              </w:rPr>
              <w:t xml:space="preserve">5584</w:t>
            </w:r>
          </w:p>
        </w:tc>
        <w:tc>
          <w:tcPr>
            <w:tcW w:w="922" w:type="pct"/>
            <w:shd w:val="clear" w:color="auto" w:fill="auto"/>
            <w:vAlign w:val="center"/>
          </w:tcPr>
          <w:p>
            <w:pPr>
              <w:jc w:val="center"/>
              <w:rPr>
                <w:rFonts w:ascii="宋体" w:hAnsi="宋体" w:cs="宋体"/>
              </w:rPr>
            </w:pPr>
            <w:r>
              <w:rPr>
                <w:rFonts w:hint="eastAsia" w:ascii="宋体" w:hAnsi="宋体" w:cs="宋体"/>
              </w:rPr>
              <w:t xml:space="preserve">5429</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rPr/>
      </w:pPr>
      <w:r>
        <w:rPr>
          <w:rFonts w:hint="eastAsia" w:ascii="宋体" w:hAnsi="宋体" w:cs="宋体"/>
          <w:sz w:val="24"/>
          <w:szCs w:val="24"/>
        </w:rPr>
        <w:t xml:space="preserve">标准房基准价格=(A+B+C+D)/4 =</w:t>
      </w:r>
      <w:r>
        <w:rPr>
          <w:rFonts w:ascii="宋体" w:hAnsi="宋体" w:cs="宋体"/>
          <w:sz w:val="24"/>
          <w:szCs w:val="24"/>
        </w:rPr>
        <w:t xml:space="preserve">5667</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5"/>
      <w:bookmarkStart w:name="_Toc32222395" w:id="26"/>
      <w:r>
        <w:rPr>
          <w:rFonts w:hint="eastAsia" w:ascii="黑体" w:eastAsia="黑体"/>
          <w:sz w:val="48"/>
        </w:rPr>
        <w:t xml:space="preserve">附    件</w:t>
      </w:r>
      <w:bookmarkEnd w:id="25"/>
      <w:bookmarkEnd w:id="26"/>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估价可比实例实体状况照片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7"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NormalTable"/>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400"/>
        <w:gridCol w:w="1985"/>
        <w:gridCol w:w="1842"/>
        <w:gridCol w:w="1843"/>
        <w:gridCol w:w="1985"/>
      </w:tblGrid>
      <w:tr>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w:t>
            </w:r>
            <w:r>
              <w:rPr>
                <w:rFonts w:hint="eastAsia"/>
              </w:rPr>
              <w:t xml:space="preserve">A</w:t>
            </w:r>
          </w:p>
        </w:tc>
        <w:tc>
          <w:tcPr>
            <w:tcW w:w="1842" w:type="dxa"/>
            <w:vAlign w:val="center"/>
          </w:tcPr>
          <w:p>
            <w:pPr>
              <w:jc w:val="center"/>
              <w:rPr>
                <w:rFonts w:ascii="宋体" w:hAnsi="宋体" w:cs="宋体"/>
              </w:rPr>
            </w:pPr>
            <w:r>
              <w:rPr>
                <w:rFonts w:hint="eastAsia"/>
              </w:rPr>
              <w:t xml:space="preserve">案例</w:t>
            </w:r>
            <w:r>
              <w:rPr>
                <w:rFonts w:hint="eastAsia"/>
              </w:rPr>
              <w:t xml:space="preserve">B</w:t>
            </w:r>
          </w:p>
        </w:tc>
        <w:tc>
          <w:tcPr>
            <w:tcW w:w="1843" w:type="dxa"/>
            <w:vAlign w:val="center"/>
          </w:tcPr>
          <w:p>
            <w:pPr>
              <w:jc w:val="center"/>
              <w:rPr>
                <w:rFonts w:ascii="宋体" w:hAnsi="宋体" w:cs="宋体"/>
              </w:rPr>
            </w:pPr>
            <w:r>
              <w:rPr>
                <w:rFonts w:hint="eastAsia"/>
              </w:rPr>
              <w:t xml:space="preserve">案例</w:t>
            </w:r>
            <w:r>
              <w:rPr>
                <w:rFonts w:hint="eastAsia"/>
              </w:rPr>
              <w:t xml:space="preserve">C</w:t>
            </w:r>
          </w:p>
        </w:tc>
        <w:tc>
          <w:tcPr>
            <w:tcW w:w="1985" w:type="dxa"/>
            <w:vAlign w:val="center"/>
          </w:tcPr>
          <w:p>
            <w:pPr>
              <w:jc w:val="center"/>
              <w:rPr>
                <w:rFonts w:ascii="宋体" w:hAnsi="宋体" w:cs="宋体"/>
              </w:rPr>
            </w:pPr>
            <w:r>
              <w:rPr>
                <w:rFonts w:hint="eastAsia"/>
              </w:rPr>
              <w:t xml:space="preserve">案例</w:t>
            </w:r>
            <w:r>
              <w:rPr>
                <w:rFonts w:hint="eastAsia"/>
              </w:rPr>
              <w:t xml:space="preserve">D</w:t>
            </w:r>
          </w:p>
        </w:tc>
      </w:tr>
      <w:tr>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rPr/>
            </w:pPr>
            <w:r>
              <w:rPr>
                <w:sz w:val="18"/>
                <w:szCs w:val="18"/>
              </w:rPr>
              <w:t xml:space="preserve">商品房销售网签数据</w:t>
            </w:r>
          </w:p>
        </w:tc>
        <w:tc>
          <w:tcPr>
            <w:tcW w:w="1842" w:type="dxa"/>
            <w:vAlign w:val="center"/>
          </w:tcPr>
          <w:p>
            <w:pPr>
              <w:jc w:val="center"/>
              <w:rPr/>
            </w:pPr>
            <w:r>
              <w:rPr>
                <w:sz w:val="18"/>
                <w:szCs w:val="18"/>
              </w:rPr>
              <w:t xml:space="preserve">商品房销售网签数据</w:t>
            </w:r>
          </w:p>
        </w:tc>
        <w:tc>
          <w:tcPr>
            <w:tcW w:w="1843" w:type="dxa"/>
            <w:vAlign w:val="center"/>
          </w:tcPr>
          <w:p>
            <w:pPr>
              <w:jc w:val="center"/>
              <w:rPr/>
            </w:pPr>
            <w:r>
              <w:rPr>
                <w:sz w:val="18"/>
                <w:szCs w:val="18"/>
              </w:rPr>
              <w:t xml:space="preserve">存量房契税纳税数据</w:t>
            </w:r>
          </w:p>
        </w:tc>
        <w:tc>
          <w:tcPr>
            <w:tcW w:w="1985" w:type="dxa"/>
            <w:vAlign w:val="center"/>
          </w:tcPr>
          <w:p>
            <w:pPr>
              <w:jc w:val="center"/>
              <w:rPr/>
            </w:pPr>
            <w:r>
              <w:rPr>
                <w:sz w:val="18"/>
                <w:szCs w:val="18"/>
              </w:rPr>
              <w:t xml:space="preserve">存量房契税纳税数据</w:t>
            </w:r>
          </w:p>
        </w:tc>
      </w:tr>
      <w:tr>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rPr/>
            </w:pPr>
            <w:r>
              <w:rPr>
                <w:sz w:val="18"/>
                <w:szCs w:val="18"/>
              </w:rPr>
              <w:t xml:space="preserve">网签房屋编号</w:t>
            </w:r>
          </w:p>
        </w:tc>
        <w:tc>
          <w:tcPr>
            <w:tcW w:w="1842" w:type="dxa"/>
            <w:vAlign w:val="center"/>
          </w:tcPr>
          <w:p>
            <w:pPr>
              <w:jc w:val="center"/>
              <w:rPr/>
            </w:pPr>
            <w:r>
              <w:rPr>
                <w:sz w:val="18"/>
                <w:szCs w:val="18"/>
              </w:rPr>
              <w:t xml:space="preserve">网签房屋编号</w:t>
            </w:r>
          </w:p>
        </w:tc>
        <w:tc>
          <w:tcPr>
            <w:tcW w:w="1843" w:type="dxa"/>
            <w:vAlign w:val="center"/>
          </w:tcPr>
          <w:p>
            <w:pPr>
              <w:jc w:val="center"/>
              <w:rPr/>
            </w:pPr>
            <w:r>
              <w:rPr>
                <w:sz w:val="18"/>
                <w:szCs w:val="18"/>
              </w:rPr>
              <w:t xml:space="preserve">税源编号</w:t>
            </w:r>
          </w:p>
        </w:tc>
        <w:tc>
          <w:tcPr>
            <w:tcW w:w="1985" w:type="dxa"/>
            <w:vAlign w:val="center"/>
          </w:tcPr>
          <w:p>
            <w:pPr>
              <w:jc w:val="center"/>
              <w:rPr/>
            </w:pPr>
            <w:r>
              <w:rPr>
                <w:sz w:val="18"/>
                <w:szCs w:val="18"/>
              </w:rPr>
              <w:t xml:space="preserve">税源编号</w:t>
            </w:r>
          </w:p>
        </w:tc>
      </w:tr>
      <w:tr>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rPr/>
            </w:pPr>
            <w:r>
              <w:rPr>
                <w:rFonts w:hint="eastAsia" w:ascii="宋体" w:hAnsi="宋体" w:cs="宋体"/>
              </w:rPr>
              <w:t xml:space="preserve">F32050920230041071</w:t>
            </w:r>
          </w:p>
        </w:tc>
        <w:tc>
          <w:tcPr>
            <w:tcW w:w="1842" w:type="dxa"/>
            <w:vAlign w:val="center"/>
          </w:tcPr>
          <w:p>
            <w:pPr>
              <w:jc w:val="center"/>
              <w:rPr/>
            </w:pPr>
            <w:r>
              <w:rPr>
                <w:rFonts w:hint="eastAsia" w:ascii="宋体" w:hAnsi="宋体" w:cs="宋体"/>
              </w:rPr>
              <w:t xml:space="preserve">F32050920230035784</w:t>
            </w:r>
          </w:p>
        </w:tc>
        <w:tc>
          <w:tcPr>
            <w:tcW w:w="1843" w:type="dxa"/>
            <w:vAlign w:val="center"/>
          </w:tcPr>
          <w:p>
            <w:pPr>
              <w:jc w:val="center"/>
              <w:rPr/>
            </w:pPr>
            <w:r>
              <w:rPr>
                <w:rFonts w:hint="eastAsia" w:ascii="宋体" w:hAnsi="宋体" w:cs="宋体"/>
              </w:rPr>
              <w:t xml:space="preserve">s202308080138</w:t>
            </w:r>
          </w:p>
        </w:tc>
        <w:tc>
          <w:tcPr>
            <w:tcW w:w="1985" w:type="dxa"/>
            <w:vAlign w:val="center"/>
          </w:tcPr>
          <w:p>
            <w:pPr>
              <w:jc w:val="center"/>
              <w:rPr/>
            </w:pPr>
            <w:r>
              <w:rPr>
                <w:rFonts w:hint="eastAsia" w:ascii="宋体" w:hAnsi="宋体" w:cs="宋体"/>
              </w:rPr>
              <w:t xml:space="preserve">F32050920230048774</w:t>
            </w:r>
          </w:p>
        </w:tc>
      </w:tr>
      <w:tr>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rPr/>
            </w:pPr>
            <w:r>
              <w:rPr>
                <w:rFonts w:hint="eastAsia" w:ascii="宋体" w:hAnsi="宋体" w:cs="宋体"/>
              </w:rPr>
              <w:t xml:space="preserve">优瑾新村6幢304</w:t>
            </w:r>
          </w:p>
        </w:tc>
        <w:tc>
          <w:tcPr>
            <w:tcW w:w="1842" w:type="dxa"/>
            <w:vAlign w:val="center"/>
          </w:tcPr>
          <w:p>
            <w:pPr>
              <w:jc w:val="center"/>
              <w:rPr/>
            </w:pPr>
            <w:r>
              <w:rPr>
                <w:rFonts w:hint="eastAsia" w:ascii="宋体" w:hAnsi="宋体" w:cs="宋体"/>
              </w:rPr>
              <w:t xml:space="preserve">新天地家园8幢204</w:t>
            </w:r>
          </w:p>
        </w:tc>
        <w:tc>
          <w:tcPr>
            <w:tcW w:w="1843" w:type="dxa"/>
            <w:vAlign w:val="center"/>
          </w:tcPr>
          <w:p>
            <w:pPr>
              <w:jc w:val="center"/>
              <w:rPr/>
            </w:pPr>
            <w:r>
              <w:rPr>
                <w:rFonts w:hint="eastAsia" w:ascii="宋体" w:hAnsi="宋体" w:cs="宋体"/>
              </w:rPr>
              <w:t xml:space="preserve">胜秀花苑11幢604</w:t>
            </w:r>
          </w:p>
        </w:tc>
        <w:tc>
          <w:tcPr>
            <w:tcW w:w="1985" w:type="dxa"/>
            <w:vAlign w:val="center"/>
          </w:tcPr>
          <w:p>
            <w:pPr>
              <w:jc w:val="center"/>
              <w:rPr/>
            </w:pPr>
            <w:r>
              <w:rPr>
                <w:rFonts w:hint="eastAsia" w:ascii="宋体" w:hAnsi="宋体" w:cs="宋体"/>
              </w:rPr>
              <w:t xml:space="preserve">璟怡花园3幢103</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2、估价可比实例实体状况照片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优瑾新村6幢304</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5"/>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新天地家园8幢204</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6"/>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7"/>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胜秀花苑11幢604</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8"/>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18"/>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璟怡花园3幢103</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19"/>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7"/>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9"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NormalTable"/>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9090"/>
      </w:tblGrid>
      <w:tr>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0"/>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NormalTable"/>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9009"/>
      </w:tblGrid>
      <w:tr>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1"/>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NormalTable"/>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8759"/>
      </w:tblGrid>
      <w:tr>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2"/>
                </v:shape>
              </w:pict>
            </w:r>
          </w:p>
        </w:tc>
      </w:tr>
      <w:tr>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rPr/>
            </w:pPr>
            <w:r>
              <w:pict>
                <v:shape id="_x0000_i0024" style="height:0;width:0" o:spid="_x0000_i0049" o:bordertopcolor="this" o:borderleftcolor="this" o:borderbottomcolor="this" o:borderrightcolor="this" type="#_x0000_t75">
                  <v:imagedata o:title="" r:id="rId23"/>
                </v:shape>
              </w:pict>
            </w:r>
          </w:p>
        </w:tc>
      </w:tr>
    </w:tbl>
    <w:p>
      <w:pPr>
        <w:spacing w:line="360" w:lineRule="auto"/>
        <w:jc w:val="both"/>
        <w:rPr>
          <w:rFonts w:ascii="仿宋_GB2312" w:hAnsi="华文仿宋" w:eastAsia="仿宋_GB2312"/>
          <w:bCs/>
          <w:sz w:val="28"/>
          <w:szCs w:val="28"/>
        </w:rPr>
      </w:pPr>
    </w:p>
    <w:sectPr>
      <w:footerReference w:type="default" r:id="rId24"/>
      <w:pgSz w:w="11906" w:h="16838" w:orient="portrait"/>
      <w:pgMar w:top="1440" w:right="1800" w:bottom="1276" w:left="1800" w:header="851" w:footer="545" w:gutter="0"/>
      <w:pgNumType w:start="1"/>
      <w:cols w:space="425" w:num="1">
        <w:col w:w="8306" w:space="425"/>
      </w:cols>
      <w:docGrid w:type="lines" w:linePitch="312"/>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宋体">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黑体">
    <w:panose1 w:val="02010609060101010101"/>
    <w:charset w:val="86"/>
    <w:family w:val="modern"/>
    <w:pitch w:val="fixed"/>
    <w:sig w:usb0="800002BF" w:usb1="38CF7CFA" w:usb2="00000016" w:usb3="00000000" w:csb0="00040001" w:csb1="00000000"/>
  </w:font>
  <w:font w:name="楷体_GB2312">
    <w:panose1 w:val="00000000000000000000"/>
    <w:charset w:val="86"/>
    <w:family w:val="modern"/>
    <w:pitch w:val="default"/>
    <w:sig w:usb0="00000000" w:usb1="00000000" w:usb2="00000010" w:usb3="00000000" w:csb0="0004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华文中宋">
    <w:panose1 w:val="02010600040101010101"/>
    <w:charset w:val="86"/>
    <w:family w:val="auto"/>
    <w:pitch w:val="variable"/>
    <w:sig w:usb0="00000287" w:usb1="080F0000" w:usb2="00000010" w:usb3="00000000" w:csb0="0004009F" w:csb1="00000000"/>
  </w:font>
  <w:font w:name="楷体">
    <w:panose1 w:val="02010609060101010101"/>
    <w:charset w:val="86"/>
    <w:family w:val="modern"/>
    <w:pitch w:val="fixed"/>
    <w:sig w:usb0="800002BF" w:usb1="38CF7CFA" w:usb2="00000016" w:usb3="00000000" w:csb0="00040001" w:csb1="00000000"/>
  </w:font>
  <w:font w:name="Baskerville">
    <w:panose1 w:val="00000000000000000000"/>
    <w:charset w:val="00"/>
    <w:family w:val="roman"/>
    <w:pitch w:val="default"/>
    <w:sig w:usb0="00000000" w:usb1="00000000" w:usb2="00000000" w:usb3="00000000" w:csb0="00000001"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variable"/>
    <w:sig w:usb0="00000001" w:usb1="080F0000" w:usb2="00000010" w:usb3="00000000" w:csb0="00040000" w:csb1="00000000"/>
  </w:font>
  <w:font w:name="仿宋_GB2312">
    <w:panose1 w:val="00000000000000000000"/>
    <w:charset w:val="86"/>
    <w:family w:val="modern"/>
    <w:pitch w:val="default"/>
    <w:sig w:usb0="00000000" w:usb1="00000000" w:usb2="00000010" w:usb3="00000000" w:csb0="00040000" w:csb1="00000000"/>
  </w:font>
  <w:font w:name="华文仿宋">
    <w:panose1 w:val="02010600040101010101"/>
    <w:charset w:val="86"/>
    <w:family w:val="auto"/>
    <w:pitch w:val="variable"/>
    <w:sig w:usb0="00000287" w:usb1="080F0000" w:usb2="00000010" w:usb3="00000000" w:csb0="0004009F"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rPr/>
    </w:pPr>
  </w:p>
  <w:p>
    <w:pPr>
      <w:pStyle w:val="Footer"/>
      <w:rP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rP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rP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14="http://schemas.microsoft.com/office/word/2010/wordml" xmlns:sl="http://schemas.openxmlformats.org/schemaLibrary/2006/main" xmlns:w="http://schemas.openxmlformats.org/wordprocessingml/2006/main" mc:Ignorable="w14">
  <w:zoom w:percent="100"/>
  <w:bordersDoNotSurroundFooter/>
  <w:bordersDoNotSurroundHeader/>
  <w:doNotTrackMoves/>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decimalSymbol w:val="."/>
  <w:listSeparator w:val=","/>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uiPriority="0"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semiHidden="1" w:uiPriority="39" w:unhideWhenUsed="1"/>
    <w:lsdException w:name="toc 3"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uiPriority="0" w:qFormat="1"/>
    <w:lsdException w:name="footnote text" w:semiHidden="1" w:unhideWhenUsed="1"/>
    <w:lsdException w:name="annotation text" w:unhideWhenUsed="1" w:qFormat="1"/>
    <w:lsdException w:name="header" w:uiPriority="0" w:unhideWhenUsed="1" w:qFormat="1"/>
    <w:lsdException w:name="footer" w:unhideWhenUsed="1" w:qFormat="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uiPriority="0"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uiPriority="0"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Body Text 2" w:semiHidden="1" w:unhideWhenUsed="1"/>
    <w:lsdException w:name="Body Text 3" w:unhideWhenUsed="1" w:qFormat="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uiPriority="0" w:qFormat="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unhideWhenUsed="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semiHidden="1" w:unhideWhenUsed="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tyle>
  <w:style w:type="paragraph" w:styleId="Heading1">
    <w:name w:val="Heading 1"/>
    <w:basedOn w:val="Normal"/>
    <w:next w:val="Normal"/>
    <w:link w:val="标题1字符"/>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Indent"/>
    <w:link w:val="标题3字符"/>
    <w:qFormat/>
    <w:pPr>
      <w:keepNext/>
      <w:keepLines/>
      <w:spacing w:before="260" w:after="260" w:line="416" w:lineRule="auto"/>
      <w:outlineLvl w:val="2"/>
    </w:pPr>
    <w:rPr>
      <w:b/>
      <w:sz w:val="32"/>
    </w:rPr>
  </w:style>
  <w:style w:type="paragraph" w:styleId="Heading4">
    <w:name w:val="Heading 4"/>
    <w:basedOn w:val="Normal"/>
    <w:next w:val="Normal"/>
    <w:link w:val="标题4字符"/>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NormalTable">
    <w:name w:val="Normal Table"/>
    <w:uiPriority w:val="99"/>
    <w:semiHidden/>
    <w:unhideWhenUsed/>
    <w:rPr/>
    <w:tblPr>
      <w:tblInd w:w="0" w:type="dxa"/>
      <w:tblCellMar>
        <w:top w:w="0" w:type="dxa"/>
        <w:left w:w="108" w:type="dxa"/>
        <w:bottom w:w="0" w:type="dxa"/>
        <w:right w:w="108" w:type="dxa"/>
      </w:tblCellMar>
    </w:tblPr>
  </w:style>
  <w:style w:type="numbering" w:styleId="NoList">
    <w:name w:val="No List"/>
    <w:uiPriority w:val="99"/>
    <w:semiHidden/>
    <w:unhideWhenUsed/>
    <w:rPr/>
  </w:style>
  <w:style w:type="paragraph" w:styleId="NormalIndent">
    <w:name w:val="Normal Indent"/>
    <w:basedOn w:val="Normal"/>
    <w:qFormat/>
    <w:pPr>
      <w:ind w:firstLine="420"/>
    </w:pPr>
    <w:rPr/>
  </w:style>
  <w:style w:type="paragraph" w:styleId="Caption">
    <w:name w:val="Caption"/>
    <w:basedOn w:val="Normal"/>
    <w:next w:val="Normal"/>
    <w:link w:val="题注字符"/>
    <w:qFormat/>
    <w:rPr>
      <w:rFonts w:ascii="Cambria" w:eastAsia="黑体" w:hAnsi="Cambria"/>
    </w:rPr>
  </w:style>
  <w:style w:type="paragraph" w:styleId="CommentText">
    <w:name w:val="Comment Text"/>
    <w:basedOn w:val="Normal"/>
    <w:link w:val="批注文字字符"/>
    <w:uiPriority w:val="99"/>
    <w:unhideWhenUsed/>
    <w:qFormat/>
    <w:rPr/>
  </w:style>
  <w:style w:type="paragraph" w:styleId="BodyText3">
    <w:name w:val="Body Text 3"/>
    <w:basedOn w:val="Normal"/>
    <w:link w:val="正文文本3字符"/>
    <w:uiPriority w:val="99"/>
    <w:unhideWhenUsed/>
    <w:qFormat/>
    <w:pPr>
      <w:spacing w:after="120"/>
    </w:pPr>
    <w:rPr>
      <w:sz w:val="16"/>
      <w:szCs w:val="16"/>
    </w:rPr>
  </w:style>
  <w:style w:type="paragraph" w:styleId="BodyText">
    <w:name w:val="Body Text"/>
    <w:basedOn w:val="Normal"/>
    <w:link w:val="正文文本字符"/>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link w:val="纯文本字符"/>
    <w:qFormat/>
    <w:pPr>
      <w:widowControl w:val="0"/>
      <w:jc w:val="both"/>
    </w:pPr>
    <w:rPr>
      <w:rFonts w:ascii="宋体" w:hAnsi="Courier New"/>
      <w:kern w:val="2"/>
      <w:sz w:val="21"/>
    </w:rPr>
  </w:style>
  <w:style w:type="paragraph" w:styleId="Date">
    <w:name w:val="Date"/>
    <w:basedOn w:val="Normal"/>
    <w:next w:val="Normal"/>
    <w:link w:val="日期字符"/>
    <w:uiPriority w:val="99"/>
    <w:semiHidden/>
    <w:unhideWhenUsed/>
    <w:qFormat/>
    <w:pPr>
      <w:ind w:left="100" w:leftChars="2500"/>
    </w:pPr>
    <w:rPr/>
  </w:style>
  <w:style w:type="paragraph" w:styleId="BalloonText">
    <w:name w:val="Balloon Text"/>
    <w:basedOn w:val="Normal"/>
    <w:link w:val="批注框文本字符"/>
    <w:uiPriority w:val="99"/>
    <w:semiHidden/>
    <w:unhideWhenUsed/>
    <w:qFormat/>
    <w:rPr>
      <w:sz w:val="18"/>
      <w:szCs w:val="18"/>
    </w:rPr>
  </w:style>
  <w:style w:type="paragraph" w:styleId="Footer">
    <w:name w:val="Footer"/>
    <w:basedOn w:val="Normal"/>
    <w:link w:val="页脚字符"/>
    <w:uiPriority w:val="99"/>
    <w:unhideWhenUsed/>
    <w:qFormat/>
    <w:pPr>
      <w:tabs>
        <w:tab w:val="center" w:pos="4153"/>
        <w:tab w:val="right" w:pos="8306"/>
      </w:tabs>
      <w:snapToGrid w:val="0"/>
    </w:pPr>
    <w:rPr>
      <w:sz w:val="18"/>
      <w:szCs w:val="18"/>
    </w:rPr>
  </w:style>
  <w:style w:type="paragraph" w:styleId="Header">
    <w:name w:val="Header"/>
    <w:basedOn w:val="Normal"/>
    <w:link w:val="页眉字符"/>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CommentSubject">
    <w:name w:val="Comment Subject"/>
    <w:basedOn w:val="CommentText"/>
    <w:next w:val="CommentText"/>
    <w:link w:val="批注主题字符"/>
    <w:uiPriority w:val="99"/>
    <w:semiHidden/>
    <w:unhideWhenUsed/>
    <w:qFormat/>
    <w:rPr>
      <w:b/>
      <w:bCs/>
    </w:rPr>
  </w:style>
  <w:style w:type="table" w:styleId="TableGrid">
    <w:name w:val="Table Grid"/>
    <w:basedOn w:val="NormalTable"/>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rPr>
  </w:style>
  <w:style w:type="character" w:styleId="CommentReference">
    <w:name w:val="Comment Reference"/>
    <w:basedOn w:val="DefaultParagraphFont"/>
    <w:uiPriority w:val="99"/>
    <w:semiHidden/>
    <w:unhideWhenUsed/>
    <w:qFormat/>
    <w:rPr>
      <w:sz w:val="21"/>
      <w:szCs w:val="21"/>
    </w:rPr>
  </w:style>
  <w:style w:type="character" w:customStyle="1" w:styleId="页眉字符">
    <w:name w:val="页眉 字符"/>
    <w:basedOn w:val="DefaultParagraphFont"/>
    <w:link w:val="Header"/>
    <w:uiPriority w:val="99"/>
    <w:qFormat/>
    <w:rPr>
      <w:sz w:val="18"/>
      <w:szCs w:val="18"/>
    </w:rPr>
  </w:style>
  <w:style w:type="character" w:customStyle="1" w:styleId="页脚字符">
    <w:name w:val="页脚 字符"/>
    <w:basedOn w:val="DefaultParagraphFont"/>
    <w:link w:val="Footer"/>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link w:val="PlainText"/>
    <w:qFormat/>
    <w:rPr>
      <w:rFonts w:ascii="宋体" w:eastAsia="宋体" w:hAnsi="Courier New" w:cs="Times New Roman"/>
      <w:szCs w:val="20"/>
    </w:rPr>
  </w:style>
  <w:style w:type="character" w:customStyle="1" w:styleId="正文文本字符">
    <w:name w:val="正文文本 字符"/>
    <w:basedOn w:val="DefaultParagraphFont"/>
    <w:link w:val="BodyTex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link w:val="BalloonTex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link w:val="BodyText3"/>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link w:val="Date"/>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link w:val="无间隔字符"/>
    <w:uiPriority w:val="1"/>
    <w:qFormat/>
    <w:rPr>
      <w:rFonts w:ascii="Calibri" w:eastAsia="宋体" w:hAnsi="Calibri" w:asciiTheme="minorHAnsi" w:eastAsiaTheme="minorEastAsia" w:hAnsiTheme="minorHAnsi" w:cs="Arial" w:cstheme="minorBidi"/>
      <w:sz w:val="22"/>
      <w:szCs w:val="22"/>
    </w:rPr>
  </w:style>
  <w:style w:type="character" w:customStyle="1" w:styleId="无间隔字符">
    <w:name w:val="无间隔 字符"/>
    <w:basedOn w:val="DefaultParagraphFont"/>
    <w:link w:val="NoSpacing"/>
    <w:uiPriority w:val="1"/>
    <w:qFormat/>
    <w:rPr>
      <w:kern w:val="0"/>
      <w:sz w:val="22"/>
    </w:rPr>
  </w:style>
  <w:style w:type="character" w:customStyle="1" w:styleId="批注文字字符">
    <w:name w:val="批注文字 字符"/>
    <w:basedOn w:val="DefaultParagraphFont"/>
    <w:link w:val="CommentTex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link w:val="CommentSubject"/>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Caption"/>
    <w:locked/>
    <w:rPr>
      <w:rFonts w:ascii="Cambria" w:eastAsia="黑体" w:hAnsi="Cambr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7.jpeg" /><Relationship Id="rId11" Type="http://schemas.openxmlformats.org/officeDocument/2006/relationships/image" Target="media/image8.jpeg" /><Relationship Id="rId12" Type="http://schemas.openxmlformats.org/officeDocument/2006/relationships/image" Target="media/image9.wmf" /><Relationship Id="rId13" Type="http://schemas.openxmlformats.org/officeDocument/2006/relationships/oleObject" Target="embeddings/oleObject1.bin" /><Relationship Id="rId14" Type="http://schemas.openxmlformats.org/officeDocument/2006/relationships/image" Target="media/image10.jpeg" /><Relationship Id="rId15" Type="http://schemas.openxmlformats.org/officeDocument/2006/relationships/image" Target="media/image11.jpeg" /><Relationship Id="rId16" Type="http://schemas.openxmlformats.org/officeDocument/2006/relationships/image" Target="media/image12.jpeg" /><Relationship Id="rId17" Type="http://schemas.openxmlformats.org/officeDocument/2006/relationships/image" Target="media/image13.jpeg" /><Relationship Id="rId18" Type="http://schemas.openxmlformats.org/officeDocument/2006/relationships/image" Target="media/image14.jpeg" /><Relationship Id="rId19" Type="http://schemas.openxmlformats.org/officeDocument/2006/relationships/image" Target="media/image15.jpeg" /><Relationship Id="rId2" Type="http://schemas.openxmlformats.org/officeDocument/2006/relationships/customXml" Target="../customXml/item2.xml" /><Relationship Id="rId20" Type="http://schemas.openxmlformats.org/officeDocument/2006/relationships/image" Target="media/image16.png" /><Relationship Id="rId21" Type="http://schemas.openxmlformats.org/officeDocument/2006/relationships/image" Target="media/image17.jpeg" /><Relationship Id="rId22" Type="http://schemas.openxmlformats.org/officeDocument/2006/relationships/image" Target="media/image18.jpeg" /><Relationship Id="rId23" Type="http://schemas.openxmlformats.org/officeDocument/2006/relationships/image" Target="media/image19.jpeg" /><Relationship Id="rId24" Type="http://schemas.openxmlformats.org/officeDocument/2006/relationships/footer" Target="footer2.xml" /><Relationship Id="rId25" Type="http://schemas.openxmlformats.org/officeDocument/2006/relationships/theme" Target="theme/theme1.xml" /><Relationship Id="rId26" Type="http://schemas.openxmlformats.org/officeDocument/2006/relationships/styles" Target="styles.xml" /><Relationship Id="rId27" Type="http://schemas.openxmlformats.org/officeDocument/2006/relationships/webSettings" Target="webSettings.xml" /><Relationship Id="rId28" Type="http://schemas.openxmlformats.org/officeDocument/2006/relationships/numbering" Target="numbering.xml" /><Relationship Id="rId29" Type="http://schemas.openxmlformats.org/officeDocument/2006/relationships/fontTable" Target="fontTable.xml" /><Relationship Id="rId3" Type="http://schemas.openxmlformats.org/officeDocument/2006/relationships/footer" Target="footer1.xml" /><Relationship Id="rId30" Type="http://schemas.openxmlformats.org/officeDocument/2006/relationships/settings" Target="settings.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jpeg" /><Relationship Id="rId8" Type="http://schemas.openxmlformats.org/officeDocument/2006/relationships/image" Target="media/image5.jpeg" /><Relationship Id="rId9" Type="http://schemas.openxmlformats.org/officeDocument/2006/relationships/image" Target="media/image6.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0681153265704AF2A3DC189A351F6915</vt:lpwstr>
  </property>
</Properties>
</file>

<file path=customXml/item2.xml><?xml version="1.0" encoding="utf-8"?>
<b:Sources xmlns:b="http://schemas.openxmlformats.org/officeDocument/2006/bibliography" xmlns="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E0EE22E2-E208-4F48-8863-0FB65286A215}">
  <ds:schemaRefs>
    <ds:schemaRef ds:uri="http://schemas.openxmlformats.org/officeDocument/2006/bibliography"/>
  </ds:schemaRefs>
</ds:datastoreItem>
</file>

<file path=docProps/app.xml><?xml version="1.0" encoding="utf-8"?>
<Properties xmlns:vt="http://schemas.openxmlformats.org/officeDocument/2006/docPropsVTypes" xmlns="http://schemas.openxmlformats.org/officeDocument/2006/extended-properties">
  <Template>Normal.dotm</Template>
  <TotalTime>24</TotalTime>
  <Pages>34</Pages>
  <Words>3328</Words>
  <Characters>18970</Characters>
  <Application>Microsoft Office Word</Application>
  <DocSecurity>0</DocSecurity>
  <Lines>158</Lines>
  <Paragraphs>44</Paragraphs>
  <Company>Www.RePaiK.Com</Company>
  <CharactersWithSpaces>22254</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钰科 孙</cp:lastModifiedBy>
  <cp:revision>2</cp:revision>
  <cp:lastPrinted>2020-03-31T10:20:00Z</cp:lastPrinted>
  <dcterms:created xsi:type="dcterms:W3CDTF">2023-05-06T09:44:00Z</dcterms:created>
  <dcterms:modified xsi:type="dcterms:W3CDTF">2024-03-07T05:42:00Z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str>2052-0.0.0.0</vt:lpstr>
  </property>
  <property fmtid="{D5CDD505-2E9C-101B-9397-08002B2CF9AE}" pid="3" name="ICV">
    <vt:lpstr>0681153265704AF2A3DC189A351F6915</vt:lpstr>
  </property>
</Properties>
</file>