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苏吴地评税字(2024)吴江第00407号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苏州市吴江区七都镇</w:t>
      </w:r>
      <w:r>
        <w:rPr>
          <w:rFonts w:ascii="宋体" w:hAnsi="宋体" w:eastAsia="宋体" w:asciiTheme="minorEastAsia" w:hAnsiTheme="minorEastAsia" w:eastAsiaTheme="minorEastAsia"/>
          <w:sz w:val="24"/>
          <w:szCs w:val="24"/>
        </w:rPr>
        <w:t xml:space="preserve">太湖国际普通多层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估价对象位于苏州市吴江区区域范围内的太湖国际住宅小区普通多层存量房。该小区内的物业类型包括：</w:t>
      </w:r>
      <w:r>
        <w:rPr>
          <w:rFonts w:ascii="宋体"/>
          <w:sz w:val="24"/>
        </w:rPr>
        <w:t xml:space="preserve">普通多层、联排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月修订版），结合估价人员现场查勘，选取太湖国际</w:t>
      </w:r>
      <w:r>
        <w:rPr>
          <w:rFonts w:ascii="宋体"/>
          <w:sz w:val="24"/>
        </w:rPr>
        <w:t xml:space="preserve">8幢102室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139.93</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2024年04月19日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2024年04月19日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陆仟玖佰肆拾肆元整</w:t>
      </w:r>
      <w:r>
        <w:rPr>
          <w:rFonts w:hint="eastAsia" w:ascii="宋体" w:hAnsi="宋体"/>
          <w:b/>
          <w:bCs/>
          <w:sz w:val="24"/>
        </w:rPr>
        <w:t xml:space="preserve">（RMB</w:t>
      </w:r>
      <w:r>
        <w:rPr>
          <w:rFonts w:ascii="宋体" w:hAnsi="宋体"/>
          <w:b/>
          <w:bCs/>
          <w:sz w:val="24"/>
        </w:rPr>
        <w:t xml:space="preserve"> 6944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5.本报告作为整体使用时有效。若房地产市场无重大波动，本估价报告自出具日起一年内有效，从2024年04月30日至</w:t>
      </w:r>
      <w:r>
        <w:rPr>
          <w:rFonts w:ascii="宋体" w:hAnsi="宋体"/>
          <w:sz w:val="24"/>
        </w:rPr>
        <w:t xml:space="preserve">2025年04月29日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太湖国际</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常增路西侧</w:t>
      </w:r>
      <w:r>
        <w:rPr>
          <w:rFonts w:hint="eastAsia" w:hAnsi="宋体"/>
          <w:sz w:val="24"/>
        </w:rPr>
        <w:t xml:space="preserve">的“</w:t>
      </w:r>
      <w:r>
        <w:rPr>
          <w:rFonts w:hint="eastAsia" w:hAnsi="宋体"/>
          <w:sz w:val="24"/>
        </w:rPr>
        <w:t xml:space="preserve">太湖国际</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常增路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临湖创新路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元春路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七都大道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139.93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常增路西侧</w:t>
      </w:r>
      <w:r>
        <w:rPr>
          <w:rFonts w:hint="eastAsia" w:hAnsi="宋体"/>
          <w:sz w:val="24"/>
        </w:rPr>
        <w:t xml:space="preserve">的“太湖国际”住宅区内。该小区内的物业类型包括：</w:t>
      </w:r>
      <w:r>
        <w:rPr>
          <w:rFonts w:hAnsi="宋体"/>
          <w:sz w:val="24"/>
        </w:rPr>
        <w:t xml:space="preserve">普通多层、联排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太湖国际</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太湖国际</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由于太湖国际幢数较少且大多为别墅，市场交易不活跃，片区内可选案例较少，因此选择的案例A，B，C，D，距离在3公里以外。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太湖国际住宅2024年4月挂牌均价11300元/平方米，较年初持平。待评估二手房住宅近9个月（2023年08月-2024年04月）挂牌均价波动幅度较小，价格维持在10915-11300元/平方米之间。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均价说明：太湖国际小区物业类型包括：普通多层、联排,房源均价为:11300元/平方米，包含毛坯价值以及附带装修价值。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139.93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2024年04月19日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陆仟玖佰肆拾肆元整</w:t>
      </w:r>
      <w:r>
        <w:rPr>
          <w:rFonts w:hint="eastAsia" w:ascii="宋体" w:hAnsi="宋体"/>
          <w:b/>
          <w:bCs/>
          <w:sz w:val="24"/>
        </w:rPr>
        <w:t xml:space="preserve">（RMB </w:t>
      </w:r>
      <w:r>
        <w:rPr>
          <w:rFonts w:ascii="宋体" w:hAnsi="宋体"/>
          <w:b/>
          <w:bCs/>
          <w:sz w:val="24"/>
        </w:rPr>
        <w:t xml:space="preserve">6944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97.17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6944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本次实地查勘期为2024年04月19日，并于当日完成现场查勘。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2024年04月19日</w:t>
      </w:r>
      <w:r>
        <w:rPr>
          <w:rFonts w:hint="eastAsia" w:ascii="宋体"/>
          <w:sz w:val="24"/>
        </w:rPr>
        <w:t xml:space="preserve">至2024年04月30日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太湖国际</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位于元春路东侧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元春路东侧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附近有7609路、743路、7603路等多条公交线路</w:t>
      </w:r>
      <w:r>
        <w:rPr>
          <w:rFonts w:hint="eastAsia" w:hAnsi="宋体"/>
          <w:sz w:val="24"/>
        </w:rPr>
        <w:t xml:space="preserve">，</w:t>
      </w:r>
      <w:r>
        <w:rPr>
          <w:rFonts w:hAnsi="宋体"/>
          <w:sz w:val="24"/>
        </w:rPr>
        <w:t xml:space="preserve">至公交站点的距离约为500米，公交班次平均隔10分钟有一辆汽车通过。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奥玛生活购物广场</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七都农贸市场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七都中心幼儿园（桩桥路）</w:t>
      </w:r>
      <w:r>
        <w:rPr>
          <w:rFonts w:hint="eastAsia" w:ascii="宋体" w:hAnsi="宋体" w:eastAsia="宋体" w:asciiTheme="minorEastAsia" w:hAnsiTheme="minorEastAsia" w:eastAsiaTheme="minorEastAsia"/>
          <w:sz w:val="24"/>
        </w:rPr>
        <w:t xml:space="preserve">、</w:t>
      </w:r>
      <w:r>
        <w:rPr>
          <w:rFonts w:hAnsi="宋体"/>
          <w:sz w:val="24"/>
        </w:rPr>
        <w:t xml:space="preserve">七都镇中心小学</w:t>
      </w:r>
      <w:r>
        <w:rPr>
          <w:rFonts w:hint="eastAsia" w:hAnsi="宋体"/>
          <w:sz w:val="24"/>
        </w:rPr>
        <w:t xml:space="preserve">、</w:t>
      </w:r>
      <w:r>
        <w:rPr>
          <w:rFonts w:hAnsi="宋体"/>
          <w:sz w:val="24"/>
        </w:rPr>
        <w:t xml:space="preserve">七都中学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常增路</w:t>
      </w:r>
      <w:r>
        <w:rPr>
          <w:rFonts w:hint="eastAsia" w:ascii="宋体" w:hAnsi="宋体"/>
          <w:sz w:val="24"/>
        </w:rPr>
        <w:t xml:space="preserve">，南至</w:t>
      </w:r>
      <w:r>
        <w:rPr>
          <w:rFonts w:ascii="宋体" w:hAnsi="宋体"/>
          <w:sz w:val="24"/>
        </w:rPr>
        <w:t xml:space="preserve">临湖创新路</w:t>
      </w:r>
      <w:r>
        <w:rPr>
          <w:rFonts w:hint="eastAsia" w:ascii="宋体" w:hAnsi="宋体"/>
          <w:sz w:val="24"/>
        </w:rPr>
        <w:t xml:space="preserve">，西至</w:t>
      </w:r>
      <w:r>
        <w:rPr>
          <w:rFonts w:ascii="宋体" w:hAnsi="宋体"/>
          <w:sz w:val="24"/>
        </w:rPr>
        <w:t xml:space="preserve">元春路</w:t>
      </w:r>
      <w:r>
        <w:rPr>
          <w:rFonts w:hint="eastAsia" w:ascii="宋体" w:hAnsi="宋体"/>
          <w:sz w:val="24"/>
        </w:rPr>
        <w:t xml:space="preserve">，北至</w:t>
      </w:r>
      <w:r>
        <w:rPr>
          <w:rFonts w:ascii="宋体" w:hAnsi="宋体"/>
          <w:sz w:val="24"/>
        </w:rPr>
        <w:t xml:space="preserve">七都大道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估价对象为坐落于苏州市吴江区太湖国际</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139.93</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2008</w:t>
      </w:r>
      <w:r>
        <w:rPr>
          <w:rFonts w:hint="eastAsia" w:hAnsi="宋体"/>
          <w:sz w:val="24"/>
        </w:rPr>
        <w:t xml:space="preserve">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太湖国际住宅2024年4月挂牌均价11300元/平方米，较年初持平。待评估二手房住宅近9个月（2023年08月-2024年04月）挂牌均价波动幅度较小，价格维持在10915-11300元/平方米之间。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苏州市吴江区太湖国际</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F32050920230038421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F32050920230027819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s202310170167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s202311140006</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吴江区七都镇太湖国际8幢102室普通多层住宅标准房基准价格评估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镇南路镇南一路3幢403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镇南新村18幢202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新友花苑60幢401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望湖南区10幢402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2024年04月19日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7343</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2024年03月19日</w:t>
            </w:r>
          </w:p>
        </w:tc>
        <w:tc>
          <w:tcPr>
            <w:tcW w:w="778"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2023年08月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7901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6685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7723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7343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备注：在价值时点2024年04月19日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88529862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吴江区七都镇太湖国际8幢102室普通多层住宅标准房基准价格评估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镇南路镇南一路3幢403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镇南新村18幢202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新友花苑60幢401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望湖南区10幢402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92.61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0.9439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7343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6916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7901</w:t>
            </w:r>
          </w:p>
        </w:tc>
        <w:tc>
          <w:tcPr>
            <w:tcW w:w="922" w:type="pct"/>
            <w:shd w:val="clear" w:color="auto" w:fill="auto"/>
            <w:vAlign w:val="center"/>
          </w:tcPr>
          <w:p>
            <w:pPr>
              <w:jc w:val="center"/>
              <w:rPr>
                <w:rFonts w:ascii="宋体" w:hAnsi="宋体" w:cs="宋体"/>
              </w:rPr>
            </w:pPr>
            <w:r>
              <w:rPr>
                <w:rFonts w:hint="eastAsia" w:ascii="宋体" w:hAnsi="宋体" w:cs="宋体"/>
              </w:rPr>
              <w:t xml:space="preserve">6685</w:t>
            </w:r>
          </w:p>
        </w:tc>
        <w:tc>
          <w:tcPr>
            <w:tcW w:w="922" w:type="pct"/>
            <w:shd w:val="clear" w:color="auto" w:fill="auto"/>
            <w:vAlign w:val="center"/>
          </w:tcPr>
          <w:p>
            <w:pPr>
              <w:jc w:val="center"/>
              <w:rPr>
                <w:rFonts w:ascii="宋体" w:hAnsi="宋体" w:cs="宋体"/>
              </w:rPr>
            </w:pPr>
            <w:r>
              <w:rPr>
                <w:rFonts w:hint="eastAsia" w:ascii="宋体" w:hAnsi="宋体" w:cs="宋体"/>
              </w:rPr>
              <w:t xml:space="preserve">7723</w:t>
            </w:r>
          </w:p>
        </w:tc>
        <w:tc>
          <w:tcPr>
            <w:tcW w:w="922" w:type="pct"/>
            <w:shd w:val="clear" w:color="auto" w:fill="auto"/>
            <w:vAlign w:val="center"/>
          </w:tcPr>
          <w:p>
            <w:pPr>
              <w:jc w:val="center"/>
              <w:rPr>
                <w:rFonts w:ascii="宋体" w:hAnsi="宋体" w:cs="宋体"/>
              </w:rPr>
            </w:pPr>
            <w:r>
              <w:rPr>
                <w:rFonts w:hint="eastAsia" w:ascii="宋体" w:hAnsi="宋体" w:cs="宋体"/>
              </w:rPr>
              <w:t xml:space="preserve">7343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0.9182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0.9809</w:t>
            </w:r>
          </w:p>
        </w:tc>
        <w:tc>
          <w:tcPr>
            <w:tcW w:w="922" w:type="pct"/>
            <w:shd w:val="clear" w:color="auto" w:fill="auto"/>
            <w:vAlign w:val="center"/>
          </w:tcPr>
          <w:p>
            <w:pPr>
              <w:jc w:val="center"/>
              <w:rPr>
                <w:rFonts w:ascii="宋体" w:hAnsi="宋体" w:cs="宋体"/>
              </w:rPr>
            </w:pPr>
            <w:r>
              <w:rPr>
                <w:rFonts w:hint="eastAsia" w:ascii="宋体" w:hAnsi="宋体" w:cs="宋体"/>
              </w:rPr>
              <w:t xml:space="preserve">0.9126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0.9418</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7255</w:t>
            </w:r>
          </w:p>
        </w:tc>
        <w:tc>
          <w:tcPr>
            <w:tcW w:w="922" w:type="pct"/>
            <w:shd w:val="clear" w:color="auto" w:fill="auto"/>
            <w:vAlign w:val="center"/>
          </w:tcPr>
          <w:p>
            <w:pPr>
              <w:jc w:val="center"/>
              <w:rPr>
                <w:rFonts w:ascii="宋体" w:hAnsi="宋体" w:cs="宋体"/>
              </w:rPr>
            </w:pPr>
            <w:r>
              <w:rPr>
                <w:rFonts w:hint="eastAsia" w:ascii="宋体" w:hAnsi="宋体" w:cs="宋体"/>
              </w:rPr>
              <w:t xml:space="preserve">6557</w:t>
            </w:r>
          </w:p>
        </w:tc>
        <w:tc>
          <w:tcPr>
            <w:tcW w:w="922" w:type="pct"/>
            <w:shd w:val="clear" w:color="auto" w:fill="auto"/>
            <w:vAlign w:val="center"/>
          </w:tcPr>
          <w:p>
            <w:pPr>
              <w:jc w:val="center"/>
              <w:rPr>
                <w:rFonts w:ascii="宋体" w:hAnsi="宋体" w:cs="宋体"/>
              </w:rPr>
            </w:pPr>
            <w:r>
              <w:rPr>
                <w:rFonts w:hint="eastAsia" w:ascii="宋体" w:hAnsi="宋体" w:cs="宋体"/>
              </w:rPr>
              <w:t xml:space="preserve">7048</w:t>
            </w:r>
          </w:p>
        </w:tc>
        <w:tc>
          <w:tcPr>
            <w:tcW w:w="922" w:type="pct"/>
            <w:shd w:val="clear" w:color="auto" w:fill="auto"/>
            <w:vAlign w:val="center"/>
          </w:tcPr>
          <w:p>
            <w:pPr>
              <w:jc w:val="center"/>
              <w:rPr>
                <w:rFonts w:ascii="宋体" w:hAnsi="宋体" w:cs="宋体"/>
              </w:rPr>
            </w:pPr>
            <w:r>
              <w:rPr>
                <w:rFonts w:hint="eastAsia" w:ascii="宋体" w:hAnsi="宋体" w:cs="宋体"/>
              </w:rPr>
              <w:t xml:space="preserve">6916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7255</w:t>
            </w:r>
          </w:p>
        </w:tc>
        <w:tc>
          <w:tcPr>
            <w:tcW w:w="922" w:type="pct"/>
            <w:shd w:val="clear" w:color="auto" w:fill="auto"/>
            <w:vAlign w:val="center"/>
          </w:tcPr>
          <w:p>
            <w:pPr>
              <w:jc w:val="center"/>
              <w:rPr>
                <w:rFonts w:ascii="宋体" w:hAnsi="宋体" w:cs="宋体"/>
              </w:rPr>
            </w:pPr>
            <w:r>
              <w:rPr>
                <w:rFonts w:hint="eastAsia" w:ascii="宋体" w:hAnsi="宋体" w:cs="宋体"/>
              </w:rPr>
              <w:t xml:space="preserve">6557</w:t>
            </w:r>
          </w:p>
        </w:tc>
        <w:tc>
          <w:tcPr>
            <w:tcW w:w="922" w:type="pct"/>
            <w:shd w:val="clear" w:color="auto" w:fill="auto"/>
            <w:vAlign w:val="center"/>
          </w:tcPr>
          <w:p>
            <w:pPr>
              <w:jc w:val="center"/>
              <w:rPr>
                <w:rFonts w:ascii="宋体" w:hAnsi="宋体" w:cs="宋体"/>
              </w:rPr>
            </w:pPr>
            <w:r>
              <w:rPr>
                <w:rFonts w:hint="eastAsia" w:ascii="宋体" w:hAnsi="宋体" w:cs="宋体"/>
              </w:rPr>
              <w:t xml:space="preserve">7048</w:t>
            </w:r>
          </w:p>
        </w:tc>
        <w:tc>
          <w:tcPr>
            <w:tcW w:w="922" w:type="pct"/>
            <w:shd w:val="clear" w:color="auto" w:fill="auto"/>
            <w:vAlign w:val="center"/>
          </w:tcPr>
          <w:p>
            <w:pPr>
              <w:jc w:val="center"/>
              <w:rPr>
                <w:rFonts w:ascii="宋体" w:hAnsi="宋体" w:cs="宋体"/>
              </w:rPr>
            </w:pPr>
            <w:r>
              <w:rPr>
                <w:rFonts w:hint="eastAsia" w:ascii="宋体" w:hAnsi="宋体" w:cs="宋体"/>
              </w:rPr>
              <w:t xml:space="preserve">6916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6944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F32050920230038421</w:t>
            </w:r>
          </w:p>
        </w:tc>
        <w:tc>
          <w:tcPr>
            <w:tcW w:w="1842" w:type="dxa"/>
            <w:vAlign w:val="center"/>
          </w:tcPr>
          <w:p>
            <w:pPr>
              <w:jc w:val="center"/>
              <w:rPr/>
            </w:pPr>
            <w:r>
              <w:rPr>
                <w:rFonts w:hint="eastAsia" w:ascii="宋体" w:hAnsi="宋体" w:cs="宋体"/>
              </w:rPr>
              <w:t xml:space="preserve">F32050920230027819</w:t>
            </w:r>
          </w:p>
        </w:tc>
        <w:tc>
          <w:tcPr>
            <w:tcW w:w="1843" w:type="dxa"/>
            <w:vAlign w:val="center"/>
          </w:tcPr>
          <w:p>
            <w:pPr>
              <w:jc w:val="center"/>
              <w:rPr/>
            </w:pPr>
            <w:r>
              <w:rPr>
                <w:rFonts w:hint="eastAsia" w:ascii="宋体" w:hAnsi="宋体" w:cs="宋体"/>
              </w:rPr>
              <w:t xml:space="preserve">s202310170167</w:t>
            </w:r>
          </w:p>
        </w:tc>
        <w:tc>
          <w:tcPr>
            <w:tcW w:w="1985" w:type="dxa"/>
            <w:vAlign w:val="center"/>
          </w:tcPr>
          <w:p>
            <w:pPr>
              <w:jc w:val="center"/>
              <w:rPr/>
            </w:pPr>
            <w:r>
              <w:rPr>
                <w:rFonts w:hint="eastAsia" w:ascii="宋体" w:hAnsi="宋体" w:cs="宋体"/>
              </w:rPr>
              <w:t xml:space="preserve">s202311140006</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镇南路镇南一路3幢403</w:t>
            </w:r>
          </w:p>
        </w:tc>
        <w:tc>
          <w:tcPr>
            <w:tcW w:w="1842" w:type="dxa"/>
            <w:vAlign w:val="center"/>
          </w:tcPr>
          <w:p>
            <w:pPr>
              <w:jc w:val="center"/>
              <w:rPr/>
            </w:pPr>
            <w:r>
              <w:rPr>
                <w:rFonts w:hint="eastAsia" w:ascii="宋体" w:hAnsi="宋体" w:cs="宋体"/>
              </w:rPr>
              <w:t xml:space="preserve">镇南新村18幢202</w:t>
            </w:r>
          </w:p>
        </w:tc>
        <w:tc>
          <w:tcPr>
            <w:tcW w:w="1843" w:type="dxa"/>
            <w:vAlign w:val="center"/>
          </w:tcPr>
          <w:p>
            <w:pPr>
              <w:jc w:val="center"/>
              <w:rPr/>
            </w:pPr>
            <w:r>
              <w:rPr>
                <w:rFonts w:hint="eastAsia" w:ascii="宋体" w:hAnsi="宋体" w:cs="宋体"/>
              </w:rPr>
              <w:t xml:space="preserve">新友花苑60幢401</w:t>
            </w:r>
          </w:p>
        </w:tc>
        <w:tc>
          <w:tcPr>
            <w:tcW w:w="1985" w:type="dxa"/>
            <w:vAlign w:val="center"/>
          </w:tcPr>
          <w:p>
            <w:pPr>
              <w:jc w:val="center"/>
              <w:rPr/>
            </w:pPr>
            <w:r>
              <w:rPr>
                <w:rFonts w:hint="eastAsia" w:ascii="宋体" w:hAnsi="宋体" w:cs="宋体"/>
              </w:rPr>
              <w:t xml:space="preserve">望湖南区10幢402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镇南路镇南一路3幢403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镇南新村18幢202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新友花苑60幢401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望湖南区10幢402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