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苏吴地评税字(2024)吴江第00500号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奥林清华西区叠加</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估价对象位于苏州市吴江区区域范围内的奥林清华西区住宅小区叠加存量房。该小区内的物业类型包括：</w:t>
      </w:r>
      <w:r>
        <w:rPr>
          <w:rFonts w:ascii="宋体"/>
          <w:sz w:val="24"/>
        </w:rPr>
        <w:t xml:space="preserve">高层、叠加、联排</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月修订版），结合估价人员现场查勘，选取奥林清华西区</w:t>
      </w:r>
      <w:r>
        <w:rPr>
          <w:rFonts w:ascii="宋体"/>
          <w:sz w:val="24"/>
        </w:rPr>
        <w:t xml:space="preserve">26幢102室</w:t>
      </w:r>
      <w:r>
        <w:rPr>
          <w:rFonts w:hint="eastAsia" w:ascii="宋体"/>
          <w:sz w:val="24"/>
        </w:rPr>
        <w:t xml:space="preserve">为该小区</w:t>
      </w:r>
      <w:r>
        <w:rPr>
          <w:rFonts w:ascii="宋体"/>
          <w:sz w:val="24"/>
        </w:rPr>
        <w:t xml:space="preserve">钢混结构</w:t>
      </w:r>
      <w:r>
        <w:rPr>
          <w:rFonts w:hint="eastAsia" w:ascii="宋体"/>
          <w:sz w:val="24"/>
        </w:rPr>
        <w:t xml:space="preserve">叠加的标准样本房，所在楼层</w:t>
      </w:r>
      <w:r>
        <w:rPr>
          <w:rFonts w:ascii="宋体"/>
          <w:sz w:val="24"/>
        </w:rPr>
        <w:t xml:space="preserve">1-2</w:t>
      </w:r>
      <w:r>
        <w:rPr>
          <w:rFonts w:hint="eastAsia" w:ascii="宋体"/>
          <w:sz w:val="24"/>
        </w:rPr>
        <w:t xml:space="preserve">层</w:t>
      </w:r>
      <w:r>
        <w:rPr>
          <w:rFonts w:hint="eastAsia" w:ascii="宋体"/>
          <w:sz w:val="24"/>
        </w:rPr>
        <w:t xml:space="preserve">，总层数</w:t>
      </w:r>
      <w:r>
        <w:rPr>
          <w:rFonts w:ascii="宋体"/>
          <w:sz w:val="24"/>
        </w:rPr>
        <w:t xml:space="preserve">4</w:t>
      </w:r>
      <w:r>
        <w:rPr>
          <w:rFonts w:hint="eastAsia" w:ascii="宋体"/>
          <w:sz w:val="24"/>
        </w:rPr>
        <w:t xml:space="preserve">层，建筑面积</w:t>
      </w:r>
      <w:r>
        <w:rPr>
          <w:rFonts w:ascii="宋体"/>
          <w:sz w:val="24"/>
        </w:rPr>
        <w:t xml:space="preserve">153.01</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2074年10月17日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壹万肆仟肆佰肆拾元整</w:t>
      </w:r>
      <w:r>
        <w:rPr>
          <w:rFonts w:hint="eastAsia" w:ascii="宋体" w:hAnsi="宋体"/>
          <w:b/>
          <w:bCs/>
          <w:sz w:val="24"/>
        </w:rPr>
        <w:t xml:space="preserve">（RMB</w:t>
      </w:r>
      <w:r>
        <w:rPr>
          <w:rFonts w:ascii="宋体" w:hAnsi="宋体"/>
          <w:b/>
          <w:bCs/>
          <w:sz w:val="24"/>
        </w:rPr>
        <w:t xml:space="preserve"> 14440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估价对象为奥林清华西区</w:t>
      </w:r>
      <w:r>
        <w:rPr>
          <w:rFonts w:ascii="宋体" w:hAnsi="宋体"/>
          <w:sz w:val="24"/>
        </w:rPr>
        <w:t xml:space="preserve">26幢102室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的“奥林清华西区”住宅区内。</w:t>
      </w:r>
      <w:r>
        <w:rPr>
          <w:rFonts w:hint="eastAsia" w:ascii="宋体" w:hAnsi="宋体"/>
          <w:sz w:val="24"/>
        </w:rPr>
        <w:t xml:space="preserve">估价对象东至</w:t>
      </w:r>
      <w:r>
        <w:rPr>
          <w:rFonts w:ascii="宋体" w:hAnsi="宋体"/>
          <w:sz w:val="24"/>
          <w:szCs w:val="24"/>
        </w:rPr>
        <w:t xml:space="preserve">鲈乡南路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吴模路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开平路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高新路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153.01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的“奥林清华西区”住宅区内。该小区内的物业类型包括：</w:t>
      </w:r>
      <w:r>
        <w:rPr>
          <w:rFonts w:hAnsi="宋体"/>
          <w:sz w:val="24"/>
        </w:rPr>
        <w:t xml:space="preserve">高层、叠加、联排</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奥林清华西区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“奥林清华西区”小区</w:t>
            </w:r>
            <w:r>
              <w:rPr>
                <w:rFonts w:ascii="Cambria" w:hAnsi="宋体" w:eastAsia="黑体" w:cs="Times New Roman" w:asciiTheme="majorHAnsi" w:cstheme="majorBidi"/>
                <w:sz w:val="15"/>
                <w:szCs w:val="15"/>
              </w:rPr>
              <w:t xml:space="preserve">26幢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由于奥林清华西区市场交易不活跃，片区内可选案例较少，因此选择的案例A，C，D，距离在3公里以外。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奥林清华西区住宅2024年4月挂牌均价17968元/平方米，较年初持平。待评估二手房住宅近10个月（2023年07月-2024年04月）挂牌均价波动幅度较小，价格维持在17968-19414元/平方米之间。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均价说明：奥林清华西区小区物业类型包括：高层、叠加、联排,房源均价为:17968元/平方米，包含毛坯价值以及附带装修价值。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该房屋为4层住宅楼的第1-2层，建于2006年，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153.01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2074年10月17日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壹万肆仟肆佰肆拾元整</w:t>
      </w:r>
      <w:r>
        <w:rPr>
          <w:rFonts w:hint="eastAsia" w:ascii="宋体" w:hAnsi="宋体"/>
          <w:b/>
          <w:bCs/>
          <w:sz w:val="24"/>
        </w:rPr>
        <w:t xml:space="preserve">（RMB </w:t>
      </w:r>
      <w:r>
        <w:rPr>
          <w:rFonts w:ascii="宋体" w:hAnsi="宋体"/>
          <w:b/>
          <w:bCs/>
          <w:sz w:val="24"/>
        </w:rPr>
        <w:t xml:space="preserve">14440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220.95</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14440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估价对象为苏州市吴江区“奥林清华西区”住宅区内的</w:t>
      </w:r>
      <w:r>
        <w:rPr>
          <w:rFonts w:hAnsi="宋体"/>
          <w:sz w:val="24"/>
        </w:rPr>
        <w:t xml:space="preserve">叠加</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估价对象位于所在建筑物第1-2层。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位于开平路东侧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开平路东侧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附近有708路、713路、718路、742路等多条公交线路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大润发(吴江店)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招商银行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艾尔顿奥林清华幼儿园</w:t>
      </w:r>
      <w:r>
        <w:rPr>
          <w:rFonts w:hint="eastAsia" w:ascii="宋体" w:hAnsi="宋体" w:eastAsia="宋体" w:asciiTheme="minorEastAsia" w:hAnsiTheme="minorEastAsia" w:eastAsiaTheme="minorEastAsia"/>
          <w:sz w:val="24"/>
        </w:rPr>
        <w:t xml:space="preserve">、</w:t>
      </w:r>
      <w:r>
        <w:rPr>
          <w:rFonts w:hAnsi="宋体"/>
          <w:sz w:val="24"/>
        </w:rPr>
        <w:t xml:space="preserve">实验小学(爱德校区)</w:t>
      </w:r>
      <w:r>
        <w:rPr>
          <w:rFonts w:hint="eastAsia" w:hAnsi="宋体"/>
          <w:sz w:val="24"/>
        </w:rPr>
        <w:t xml:space="preserve">、</w:t>
      </w:r>
      <w:r>
        <w:rPr>
          <w:rFonts w:hAnsi="宋体"/>
          <w:sz w:val="24"/>
        </w:rPr>
        <w:t xml:space="preserve">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2074年10月17日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鲈乡南路</w:t>
      </w:r>
      <w:r>
        <w:rPr>
          <w:rFonts w:hint="eastAsia" w:ascii="宋体" w:hAnsi="宋体"/>
          <w:sz w:val="24"/>
        </w:rPr>
        <w:t xml:space="preserve">，南至</w:t>
      </w:r>
      <w:r>
        <w:rPr>
          <w:rFonts w:ascii="宋体" w:hAnsi="宋体"/>
          <w:sz w:val="24"/>
        </w:rPr>
        <w:t xml:space="preserve">吴模路</w:t>
      </w:r>
      <w:r>
        <w:rPr>
          <w:rFonts w:hint="eastAsia" w:ascii="宋体" w:hAnsi="宋体"/>
          <w:sz w:val="24"/>
        </w:rPr>
        <w:t xml:space="preserve">，西至</w:t>
      </w:r>
      <w:r>
        <w:rPr>
          <w:rFonts w:ascii="宋体" w:hAnsi="宋体"/>
          <w:sz w:val="24"/>
        </w:rPr>
        <w:t xml:space="preserve">开平路</w:t>
      </w:r>
      <w:r>
        <w:rPr>
          <w:rFonts w:hint="eastAsia" w:ascii="宋体" w:hAnsi="宋体"/>
          <w:sz w:val="24"/>
        </w:rPr>
        <w:t xml:space="preserve">，北至</w:t>
      </w:r>
      <w:r>
        <w:rPr>
          <w:rFonts w:ascii="宋体" w:hAnsi="宋体"/>
          <w:sz w:val="24"/>
        </w:rPr>
        <w:t xml:space="preserve">高新路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估价对象为坐落于苏州市吴江区奥林清华西区</w:t>
      </w:r>
      <w:r>
        <w:t xml:space="preserve"> </w:t>
      </w:r>
      <w:r>
        <w:rPr>
          <w:rFonts w:ascii="宋体" w:hAnsi="宋体"/>
          <w:kern w:val="2"/>
          <w:sz w:val="24"/>
        </w:rPr>
        <w:t xml:space="preserve">26幢102室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估价对象为叠加建筑，建筑面积为</w:t>
      </w:r>
      <w:r>
        <w:rPr>
          <w:rFonts w:hAnsi="宋体"/>
          <w:sz w:val="24"/>
        </w:rPr>
        <w:t xml:space="preserve">153.01</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3层数、层高：估价对象位于总楼层为4层的第1-2层，层高约2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四室两厅三卫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估价对象建成于2006年，基础较为稳固，未见沉降；墙面、地面、门窗等保养完好，综合保养成新度为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奥林清华西区住宅2024年4月挂牌均价17968元/平方米，较年初持平。待评估二手房住宅近10个月（2023年07月-2024年04月）挂牌均价波动幅度较小，价格维持在17968-19414元/平方米之间。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苏州市吴江区奥林清华西区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F32050920230041114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F32050920230048017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s202308020080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s202308040148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吴江区松陵镇奥林清华西区26幢102室叠加住宅标准房基准价格评估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樾碧花园10幢513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奥林清华西区97幢101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雍禧雅苑22幢303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江南水乡满庭芳60幢104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93.42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162.97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5-6/36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16007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15463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14899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16199</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2023年07月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16007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15463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14899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16199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2070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1971/2070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0.962</w:t>
            </w:r>
          </w:p>
        </w:tc>
        <w:tc>
          <w:tcPr>
            <w:tcW w:w="779"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0.962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80527093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吴江区松陵镇奥林清华西区26幢102室叠加住宅标准房基准价格评估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樾碧花园10幢513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奥林清华西区97幢101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雍禧雅苑22幢303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江南水乡满庭芳60幢104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153.01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93.42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202.84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162.97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0.9427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16007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15463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16199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15271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16007</w:t>
            </w:r>
          </w:p>
        </w:tc>
        <w:tc>
          <w:tcPr>
            <w:tcW w:w="922" w:type="pct"/>
            <w:shd w:val="clear" w:color="auto" w:fill="auto"/>
            <w:vAlign w:val="center"/>
          </w:tcPr>
          <w:p>
            <w:pPr>
              <w:jc w:val="center"/>
              <w:rPr>
                <w:rFonts w:ascii="宋体" w:hAnsi="宋体" w:cs="宋体"/>
              </w:rPr>
            </w:pPr>
            <w:r>
              <w:rPr>
                <w:rFonts w:hint="eastAsia" w:ascii="宋体" w:hAnsi="宋体" w:cs="宋体"/>
              </w:rPr>
              <w:t xml:space="preserve">15463</w:t>
            </w:r>
          </w:p>
        </w:tc>
        <w:tc>
          <w:tcPr>
            <w:tcW w:w="922" w:type="pct"/>
            <w:shd w:val="clear" w:color="auto" w:fill="auto"/>
            <w:vAlign w:val="center"/>
          </w:tcPr>
          <w:p>
            <w:pPr>
              <w:jc w:val="center"/>
              <w:rPr>
                <w:rFonts w:ascii="宋体" w:hAnsi="宋体" w:cs="宋体"/>
              </w:rPr>
            </w:pPr>
            <w:r>
              <w:rPr>
                <w:rFonts w:hint="eastAsia" w:ascii="宋体" w:hAnsi="宋体" w:cs="宋体"/>
              </w:rPr>
              <w:t xml:space="preserve">14899</w:t>
            </w:r>
          </w:p>
        </w:tc>
        <w:tc>
          <w:tcPr>
            <w:tcW w:w="922" w:type="pct"/>
            <w:shd w:val="clear" w:color="auto" w:fill="auto"/>
            <w:vAlign w:val="center"/>
          </w:tcPr>
          <w:p>
            <w:pPr>
              <w:jc w:val="center"/>
              <w:rPr>
                <w:rFonts w:ascii="宋体" w:hAnsi="宋体" w:cs="宋体"/>
              </w:rPr>
            </w:pPr>
            <w:r>
              <w:rPr>
                <w:rFonts w:hint="eastAsia" w:ascii="宋体" w:hAnsi="宋体" w:cs="宋体"/>
              </w:rPr>
              <w:t xml:space="preserve">16199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0.9441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0.9478</w:t>
            </w:r>
          </w:p>
        </w:tc>
        <w:tc>
          <w:tcPr>
            <w:tcW w:w="922" w:type="pct"/>
            <w:shd w:val="clear" w:color="auto" w:fill="auto"/>
            <w:vAlign w:val="center"/>
          </w:tcPr>
          <w:p>
            <w:pPr>
              <w:jc w:val="center"/>
              <w:rPr>
                <w:rFonts w:ascii="宋体" w:hAnsi="宋体" w:cs="宋体"/>
              </w:rPr>
            </w:pPr>
            <w:r>
              <w:rPr>
                <w:rFonts w:hint="eastAsia" w:ascii="宋体" w:hAnsi="宋体" w:cs="宋体"/>
              </w:rPr>
              <w:t xml:space="preserve">0.9143</w:t>
            </w:r>
          </w:p>
        </w:tc>
        <w:tc>
          <w:tcPr>
            <w:tcW w:w="922" w:type="pct"/>
            <w:shd w:val="clear" w:color="auto" w:fill="auto"/>
            <w:vAlign w:val="center"/>
          </w:tcPr>
          <w:p>
            <w:pPr>
              <w:jc w:val="center"/>
              <w:rPr>
                <w:rFonts w:ascii="宋体" w:hAnsi="宋体" w:cs="宋体"/>
              </w:rPr>
            </w:pPr>
            <w:r>
              <w:rPr>
                <w:rFonts w:hint="eastAsia" w:ascii="宋体" w:hAnsi="宋体" w:cs="宋体"/>
              </w:rPr>
              <w:t xml:space="preserve">0.9427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15112</w:t>
            </w:r>
          </w:p>
        </w:tc>
        <w:tc>
          <w:tcPr>
            <w:tcW w:w="922" w:type="pct"/>
            <w:shd w:val="clear" w:color="auto" w:fill="auto"/>
            <w:vAlign w:val="center"/>
          </w:tcPr>
          <w:p>
            <w:pPr>
              <w:jc w:val="center"/>
              <w:rPr>
                <w:rFonts w:ascii="宋体" w:hAnsi="宋体" w:cs="宋体"/>
              </w:rPr>
            </w:pPr>
            <w:r>
              <w:rPr>
                <w:rFonts w:hint="eastAsia" w:ascii="宋体" w:hAnsi="宋体" w:cs="宋体"/>
              </w:rPr>
              <w:t xml:space="preserve">14656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13622</w:t>
            </w:r>
          </w:p>
        </w:tc>
        <w:tc>
          <w:tcPr>
            <w:tcW w:w="922" w:type="pct"/>
            <w:shd w:val="clear" w:color="auto" w:fill="auto"/>
            <w:vAlign w:val="center"/>
          </w:tcPr>
          <w:p>
            <w:pPr>
              <w:jc w:val="center"/>
              <w:rPr>
                <w:rFonts w:ascii="宋体" w:hAnsi="宋体" w:cs="宋体"/>
              </w:rPr>
            </w:pPr>
            <w:r>
              <w:rPr>
                <w:rFonts w:hint="eastAsia" w:ascii="宋体" w:hAnsi="宋体" w:cs="宋体"/>
              </w:rPr>
              <w:t xml:space="preserve">15271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600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14812</w:t>
            </w:r>
          </w:p>
        </w:tc>
        <w:tc>
          <w:tcPr>
            <w:tcW w:w="922" w:type="pct"/>
            <w:shd w:val="clear" w:color="auto" w:fill="auto"/>
            <w:vAlign w:val="center"/>
          </w:tcPr>
          <w:p>
            <w:pPr>
              <w:jc w:val="center"/>
              <w:rPr>
                <w:rFonts w:ascii="宋体" w:hAnsi="宋体" w:cs="宋体"/>
              </w:rPr>
            </w:pPr>
            <w:r>
              <w:rPr>
                <w:rFonts w:hint="eastAsia" w:ascii="宋体" w:hAnsi="宋体" w:cs="宋体"/>
              </w:rPr>
              <w:t xml:space="preserve">14656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13022</w:t>
            </w:r>
          </w:p>
        </w:tc>
        <w:tc>
          <w:tcPr>
            <w:tcW w:w="922" w:type="pct"/>
            <w:shd w:val="clear" w:color="auto" w:fill="auto"/>
            <w:vAlign w:val="center"/>
          </w:tcPr>
          <w:p>
            <w:pPr>
              <w:jc w:val="center"/>
              <w:rPr>
                <w:rFonts w:ascii="宋体" w:hAnsi="宋体" w:cs="宋体"/>
              </w:rPr>
            </w:pPr>
            <w:r>
              <w:rPr>
                <w:rFonts w:hint="eastAsia" w:ascii="宋体" w:hAnsi="宋体" w:cs="宋体"/>
              </w:rPr>
              <w:t xml:space="preserve">15271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14440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F32050920230041114</w:t>
            </w:r>
          </w:p>
        </w:tc>
        <w:tc>
          <w:tcPr>
            <w:tcW w:w="1842" w:type="dxa"/>
            <w:vAlign w:val="center"/>
          </w:tcPr>
          <w:p>
            <w:pPr>
              <w:jc w:val="center"/>
            </w:pPr>
            <w:r>
              <w:rPr>
                <w:rFonts w:hint="eastAsia" w:ascii="宋体" w:hAnsi="宋体" w:cs="宋体"/>
              </w:rPr>
              <w:t xml:space="preserve">F32050920230048017</w:t>
            </w:r>
          </w:p>
        </w:tc>
        <w:tc>
          <w:tcPr>
            <w:tcW w:w="1843" w:type="dxa"/>
            <w:vAlign w:val="center"/>
          </w:tcPr>
          <w:p>
            <w:pPr>
              <w:jc w:val="center"/>
            </w:pPr>
            <w:r>
              <w:rPr>
                <w:rFonts w:hint="eastAsia" w:ascii="宋体" w:hAnsi="宋体" w:cs="宋体"/>
              </w:rPr>
              <w:t xml:space="preserve">s202308020080</w:t>
            </w:r>
          </w:p>
        </w:tc>
        <w:tc>
          <w:tcPr>
            <w:tcW w:w="1985" w:type="dxa"/>
            <w:vAlign w:val="center"/>
          </w:tcPr>
          <w:p>
            <w:pPr>
              <w:jc w:val="center"/>
            </w:pPr>
            <w:r>
              <w:rPr>
                <w:rFonts w:hint="eastAsia" w:ascii="宋体" w:hAnsi="宋体" w:cs="宋体"/>
              </w:rPr>
              <w:t xml:space="preserve">s202308040148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樾碧花园10幢513</w:t>
            </w:r>
          </w:p>
        </w:tc>
        <w:tc>
          <w:tcPr>
            <w:tcW w:w="1842" w:type="dxa"/>
            <w:vAlign w:val="center"/>
          </w:tcPr>
          <w:p>
            <w:pPr>
              <w:jc w:val="center"/>
            </w:pPr>
            <w:r>
              <w:rPr>
                <w:rFonts w:hint="eastAsia" w:ascii="宋体" w:hAnsi="宋体" w:cs="宋体"/>
              </w:rPr>
              <w:t xml:space="preserve">奥林清华西区97幢101</w:t>
            </w:r>
          </w:p>
        </w:tc>
        <w:tc>
          <w:tcPr>
            <w:tcW w:w="1843" w:type="dxa"/>
            <w:vAlign w:val="center"/>
          </w:tcPr>
          <w:p>
            <w:pPr>
              <w:jc w:val="center"/>
            </w:pPr>
            <w:r>
              <w:rPr>
                <w:rFonts w:hint="eastAsia" w:ascii="宋体" w:hAnsi="宋体" w:cs="宋体"/>
              </w:rPr>
              <w:t xml:space="preserve">雍禧雅苑22幢303</w:t>
            </w:r>
          </w:p>
        </w:tc>
        <w:tc>
          <w:tcPr>
            <w:tcW w:w="1985" w:type="dxa"/>
            <w:vAlign w:val="center"/>
          </w:tcPr>
          <w:p>
            <w:pPr>
              <w:jc w:val="center"/>
            </w:pPr>
            <w:r>
              <w:rPr>
                <w:rFonts w:hint="eastAsia" w:ascii="宋体" w:hAnsi="宋体" w:cs="宋体"/>
              </w:rPr>
              <w:t xml:space="preserve">江南水乡满庭芳60幢104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樾碧花园10幢513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奥林清华西区97幢101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雍禧雅苑22幢303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江南水乡满庭芳60幢104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pn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