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苏吴地评税字(2024)吴江第00669号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廊桥水岸观邸高层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2024年05月18日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估价对象位于苏州市吴江区区域范围内的廊桥水岸观邸住宅小区高层存量房。该小区内的物业类型包括：</w:t>
      </w:r>
      <w:r>
        <w:rPr>
          <w:rFonts w:ascii="宋体"/>
          <w:sz w:val="24"/>
        </w:rPr>
        <w:t xml:space="preserve">电梯多层、小高层、高层、联排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月修订版），结合估价人员现场查勘，选取廊桥水岸观邸</w:t>
      </w:r>
      <w:r>
        <w:rPr>
          <w:rFonts w:ascii="宋体"/>
          <w:sz w:val="24"/>
        </w:rPr>
        <w:t xml:space="preserve">11幢102室</w:t>
      </w:r>
      <w:r>
        <w:rPr>
          <w:rFonts w:hint="eastAsia" w:ascii="宋体"/>
          <w:sz w:val="24"/>
        </w:rPr>
        <w:t xml:space="preserve">为该小区</w:t>
      </w:r>
      <w:r>
        <w:rPr>
          <w:rFonts w:ascii="宋体"/>
          <w:sz w:val="24"/>
        </w:rPr>
        <w:t xml:space="preserve">钢混</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19</w:t>
      </w:r>
      <w:r>
        <w:rPr>
          <w:rFonts w:hint="eastAsia" w:ascii="宋体"/>
          <w:sz w:val="24"/>
        </w:rPr>
        <w:t xml:space="preserve">层，建筑面积</w:t>
      </w:r>
      <w:r>
        <w:rPr>
          <w:rFonts w:ascii="宋体"/>
          <w:sz w:val="24"/>
        </w:rPr>
        <w:t xml:space="preserve">115.18</w:t>
      </w:r>
      <w:r>
        <w:rPr>
          <w:rFonts w:hint="eastAsia" w:ascii="宋体"/>
          <w:sz w:val="24"/>
        </w:rPr>
        <w:t xml:space="preserve">平方米，南北朝向，</w:t>
      </w:r>
      <w:r>
        <w:rPr>
          <w:rFonts w:ascii="宋体"/>
          <w:sz w:val="24"/>
        </w:rPr>
        <w:t xml:space="preserve">中间户，钢混</w:t>
      </w:r>
      <w:r>
        <w:rPr>
          <w:rFonts w:hint="eastAsia" w:ascii="宋体"/>
          <w:sz w:val="24"/>
        </w:rPr>
        <w:t xml:space="preserve">，设计用途为成套住宅，建成于</w:t>
      </w:r>
      <w:r>
        <w:rPr>
          <w:rFonts w:ascii="宋体"/>
          <w:sz w:val="24"/>
        </w:rPr>
        <w:t xml:space="preserve">2014</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2081年02月27日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壹万叁仟零贰拾捌元整</w:t>
      </w:r>
      <w:r>
        <w:rPr>
          <w:rFonts w:hint="eastAsia" w:ascii="宋体" w:hAnsi="宋体"/>
          <w:b/>
          <w:bCs/>
          <w:sz w:val="24"/>
        </w:rPr>
        <w:t xml:space="preserve">（RMB</w:t>
      </w:r>
      <w:r>
        <w:rPr>
          <w:rFonts w:ascii="宋体" w:hAnsi="宋体"/>
          <w:b/>
          <w:bCs/>
          <w:sz w:val="24"/>
        </w:rPr>
        <w:t xml:space="preserve"> 13028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2024年05月18日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2024年05月18日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2024年05月18日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2024年05月18日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5.本报告作为整体使用时有效。若房地产市场无重大波动，本估价报告自出具日起一年内有效，从2024年05月18日至</w:t>
      </w:r>
      <w:r>
        <w:rPr>
          <w:rFonts w:ascii="宋体" w:hAnsi="宋体"/>
          <w:sz w:val="24"/>
        </w:rPr>
        <w:t xml:space="preserve">2025年05月17日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估价对象为廊桥水岸观邸</w:t>
      </w:r>
      <w:r>
        <w:rPr>
          <w:rFonts w:ascii="宋体" w:hAnsi="宋体"/>
          <w:sz w:val="24"/>
        </w:rPr>
        <w:t xml:space="preserve">11幢102室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中山南路西侧</w:t>
      </w:r>
      <w:r>
        <w:rPr>
          <w:rFonts w:hint="eastAsia" w:hAnsi="宋体"/>
          <w:sz w:val="24"/>
        </w:rPr>
        <w:t xml:space="preserve">的“廊桥水岸观邸”住宅区内。</w:t>
      </w:r>
      <w:r>
        <w:rPr>
          <w:rFonts w:hint="eastAsia" w:ascii="宋体" w:hAnsi="宋体"/>
          <w:sz w:val="24"/>
        </w:rPr>
        <w:t xml:space="preserve">估价对象东至</w:t>
      </w:r>
      <w:r>
        <w:rPr>
          <w:rFonts w:ascii="宋体" w:hAnsi="宋体"/>
          <w:sz w:val="24"/>
          <w:szCs w:val="24"/>
        </w:rPr>
        <w:t xml:space="preserve">中山南路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江村路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鲈乡南路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庞杨路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115.18</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中山南路西侧</w:t>
      </w:r>
      <w:r>
        <w:rPr>
          <w:rFonts w:hint="eastAsia" w:hAnsi="宋体"/>
          <w:sz w:val="24"/>
        </w:rPr>
        <w:t xml:space="preserve">的“廊桥水岸观邸”住宅区内。该小区内的物业类型包括：</w:t>
      </w:r>
      <w:r>
        <w:rPr>
          <w:rFonts w:hAnsi="宋体"/>
          <w:sz w:val="24"/>
        </w:rPr>
        <w:t xml:space="preserve">电梯多层、小高层、高层、联排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廊桥水岸观邸</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“廊桥水岸观邸”小区</w:t>
            </w:r>
            <w:r>
              <w:rPr>
                <w:rFonts w:ascii="Cambria" w:hAnsi="宋体" w:eastAsia="黑体" w:cs="Times New Roman" w:asciiTheme="majorHAnsi" w:cstheme="majorBidi"/>
                <w:sz w:val="15"/>
                <w:szCs w:val="15"/>
              </w:rPr>
              <w:t xml:space="preserve">11幢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由于廊桥水岸观邸幢数较少且大多为别墅，市场交易不活跃，片区内可选案例较少，因此选择的案例A，B，C，D，距离在3公里以外。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廊桥水岸观邸住宅2024年4月挂牌均价20484元/平方米，较年初持平。待评估二手房住宅近8个月（2023年09月-2024年04月）挂牌均价波动幅度较小，价格维持在20484-22507元/平方米之间。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均价说明：廊桥水岸观邸小区物业类型包括：电梯多层、小高层、高层、联排,房源均价为:20484元/平方米，包含毛坯价值以及附带装修价值。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该房屋为19层住宅楼的第1层，建于2014年，</w:t>
      </w:r>
      <w:r>
        <w:rPr>
          <w:rFonts w:ascii="宋体" w:hAnsi="宋体"/>
          <w:sz w:val="24"/>
        </w:rPr>
        <w:t xml:space="preserve">钢混</w:t>
      </w:r>
      <w:r>
        <w:rPr>
          <w:rFonts w:hint="eastAsia" w:ascii="宋体" w:hAnsi="宋体"/>
          <w:sz w:val="24"/>
        </w:rPr>
        <w:t xml:space="preserve">，南北朝向，建筑面积为</w:t>
      </w:r>
      <w:r>
        <w:rPr>
          <w:rFonts w:ascii="宋体" w:hAnsi="宋体"/>
          <w:sz w:val="24"/>
        </w:rPr>
        <w:t xml:space="preserve">115.18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2081年02月27日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壹万叁仟零贰拾捌元整</w:t>
      </w:r>
      <w:r>
        <w:rPr>
          <w:rFonts w:hint="eastAsia" w:ascii="宋体" w:hAnsi="宋体"/>
          <w:b/>
          <w:bCs/>
          <w:sz w:val="24"/>
        </w:rPr>
        <w:t xml:space="preserve">（RMB </w:t>
      </w:r>
      <w:r>
        <w:rPr>
          <w:rFonts w:ascii="宋体" w:hAnsi="宋体"/>
          <w:b/>
          <w:bCs/>
          <w:sz w:val="24"/>
        </w:rPr>
        <w:t xml:space="preserve">13028</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150.06</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13028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2024年05月18日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2024年05月18日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2024年04月17日</w:t>
      </w:r>
      <w:r>
        <w:rPr>
          <w:rFonts w:hint="eastAsia" w:ascii="宋体"/>
          <w:sz w:val="24"/>
        </w:rPr>
        <w:t xml:space="preserve">至2024年05月18日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估价对象为苏州市吴江区“廊桥水岸观邸”住宅区内的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位于江村路北侧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江村路北侧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附近有712路、720路等多条公交线路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中国交通银行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联杨农贸市场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吴江青禾幼儿园</w:t>
      </w:r>
      <w:r>
        <w:rPr>
          <w:rFonts w:hint="eastAsia" w:ascii="宋体" w:hAnsi="宋体" w:eastAsia="宋体" w:asciiTheme="minorEastAsia" w:hAnsiTheme="minorEastAsia" w:eastAsiaTheme="minorEastAsia"/>
          <w:sz w:val="24"/>
        </w:rPr>
        <w:t xml:space="preserve">、</w:t>
      </w:r>
      <w:r>
        <w:rPr>
          <w:rFonts w:hAnsi="宋体"/>
          <w:sz w:val="24"/>
        </w:rPr>
        <w:t xml:space="preserve">思贤实验小学</w:t>
      </w:r>
      <w:r>
        <w:rPr>
          <w:rFonts w:hint="eastAsia" w:hAnsi="宋体"/>
          <w:sz w:val="24"/>
        </w:rPr>
        <w:t xml:space="preserve">、</w:t>
      </w:r>
      <w:r>
        <w:rPr>
          <w:rFonts w:hAnsi="宋体"/>
          <w:sz w:val="24"/>
        </w:rPr>
        <w:t xml:space="preserve">震泽中学(思贤路)</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2081年02月27日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中山南路</w:t>
      </w:r>
      <w:r>
        <w:rPr>
          <w:rFonts w:hint="eastAsia" w:ascii="宋体" w:hAnsi="宋体"/>
          <w:sz w:val="24"/>
        </w:rPr>
        <w:t xml:space="preserve">，南至</w:t>
      </w:r>
      <w:r>
        <w:rPr>
          <w:rFonts w:ascii="宋体" w:hAnsi="宋体"/>
          <w:sz w:val="24"/>
        </w:rPr>
        <w:t xml:space="preserve">江村路</w:t>
      </w:r>
      <w:r>
        <w:rPr>
          <w:rFonts w:hint="eastAsia" w:ascii="宋体" w:hAnsi="宋体"/>
          <w:sz w:val="24"/>
        </w:rPr>
        <w:t xml:space="preserve">，西至</w:t>
      </w:r>
      <w:r>
        <w:rPr>
          <w:rFonts w:ascii="宋体" w:hAnsi="宋体"/>
          <w:sz w:val="24"/>
        </w:rPr>
        <w:t xml:space="preserve">鲈乡南路</w:t>
      </w:r>
      <w:r>
        <w:rPr>
          <w:rFonts w:hint="eastAsia" w:ascii="宋体" w:hAnsi="宋体"/>
          <w:sz w:val="24"/>
        </w:rPr>
        <w:t xml:space="preserve">，北至</w:t>
      </w:r>
      <w:r>
        <w:rPr>
          <w:rFonts w:ascii="宋体" w:hAnsi="宋体"/>
          <w:sz w:val="24"/>
        </w:rPr>
        <w:t xml:space="preserve">庞杨路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估价对象为坐落于苏州市吴江区廊桥水岸观邸</w:t>
      </w:r>
      <w:r>
        <w:t xml:space="preserve"> </w:t>
      </w:r>
      <w:r>
        <w:rPr>
          <w:rFonts w:ascii="宋体" w:hAnsi="宋体"/>
          <w:kern w:val="2"/>
          <w:sz w:val="24"/>
        </w:rPr>
        <w:t xml:space="preserve">11幢102室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115.18</w:t>
      </w:r>
      <w:r>
        <w:rPr>
          <w:rFonts w:hint="eastAsia" w:hAnsi="宋体"/>
          <w:sz w:val="24"/>
        </w:rPr>
        <w:t xml:space="preserve">㎡，</w:t>
      </w:r>
      <w:r>
        <w:rPr>
          <w:rFonts w:hAnsi="宋体"/>
          <w:sz w:val="24"/>
        </w:rPr>
        <w:t xml:space="preserve">钢混</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3层数、层高：估价对象位于总楼层为19层的第1层，层高约2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估价对象建成于2014年，基础较为稳固，未见沉降；墙面、地面、门窗等保养完好，综合保养成新度为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廊桥水岸观邸住宅2024年4月挂牌均价20484元/平方米，较年初持平。待评估二手房住宅近8个月（2023年09月-2024年04月）挂牌均价波动幅度较小，价格维持在20484-22507元/平方米之间。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苏州市吴江区廊桥水岸观邸</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s202308290172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s202311080261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s202309200225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s202309210054</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吴江区松陵镇廊桥水岸观邸11幢102室高层住宅标准房基准价格评估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千邑悦庭19幢1001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山湖弘雅苑28幢1803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太湖明珠城聆湖苑3幢1704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千邑悦庭8幢1501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115.18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97.44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54.26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106.78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97.41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17/29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一间朝南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四等（3.5）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四等（3.5）</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四等（5.5）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14727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14560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15921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15604</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2024年03月17日</w:t>
            </w:r>
          </w:p>
        </w:tc>
        <w:tc>
          <w:tcPr>
            <w:tcW w:w="778"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2023年10月</w:t>
            </w:r>
          </w:p>
        </w:tc>
        <w:tc>
          <w:tcPr>
            <w:tcW w:w="779" w:type="pct"/>
            <w:shd w:val="clear" w:color="auto" w:fill="FFFFFF"/>
            <w:vAlign w:val="center"/>
          </w:tcPr>
          <w:p>
            <w:pPr>
              <w:jc w:val="center"/>
            </w:pPr>
            <w:r>
              <w:rPr>
                <w:rFonts w:hint="eastAsia" w:ascii="宋体" w:hAnsi="宋体" w:cs="宋体"/>
              </w:rPr>
              <w:t xml:space="preserve">2023年10月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14727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14560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15921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15604</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1971</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备注：在价值时点2024年04月17日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1596838" w:id="21"/>
      <w:bookmarkStart w:name="_Toc35232566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908728293"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吴江区松陵镇廊桥水岸观邸11幢102室高层住宅标准房基准价格评估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千邑悦庭19幢1001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山湖弘雅苑28幢1803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太湖明珠城聆湖苑3幢1704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千邑悦庭8幢1501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115.18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97.44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54.26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106.78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97.41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115.13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117.18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117.81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117.88</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0.8773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0.8619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0.8573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0.8568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1.0579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0.8938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0.8645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0.8381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0.8729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14727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14560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15921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15604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12863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13321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14727</w:t>
            </w:r>
          </w:p>
        </w:tc>
        <w:tc>
          <w:tcPr>
            <w:tcW w:w="922" w:type="pct"/>
            <w:shd w:val="clear" w:color="auto" w:fill="auto"/>
            <w:vAlign w:val="center"/>
          </w:tcPr>
          <w:p>
            <w:pPr>
              <w:jc w:val="center"/>
              <w:rPr>
                <w:rFonts w:ascii="宋体" w:hAnsi="宋体" w:cs="宋体"/>
              </w:rPr>
            </w:pPr>
            <w:r>
              <w:rPr>
                <w:rFonts w:hint="eastAsia" w:ascii="宋体" w:hAnsi="宋体" w:cs="宋体"/>
              </w:rPr>
              <w:t xml:space="preserve">14560</w:t>
            </w:r>
          </w:p>
        </w:tc>
        <w:tc>
          <w:tcPr>
            <w:tcW w:w="922" w:type="pct"/>
            <w:shd w:val="clear" w:color="auto" w:fill="auto"/>
            <w:vAlign w:val="center"/>
          </w:tcPr>
          <w:p>
            <w:pPr>
              <w:jc w:val="center"/>
              <w:rPr>
                <w:rFonts w:ascii="宋体" w:hAnsi="宋体" w:cs="宋体"/>
              </w:rPr>
            </w:pPr>
            <w:r>
              <w:rPr>
                <w:rFonts w:hint="eastAsia" w:ascii="宋体" w:hAnsi="宋体" w:cs="宋体"/>
              </w:rPr>
              <w:t xml:space="preserve">15921</w:t>
            </w:r>
          </w:p>
        </w:tc>
        <w:tc>
          <w:tcPr>
            <w:tcW w:w="922" w:type="pct"/>
            <w:shd w:val="clear" w:color="auto" w:fill="auto"/>
            <w:vAlign w:val="center"/>
          </w:tcPr>
          <w:p>
            <w:pPr>
              <w:jc w:val="center"/>
              <w:rPr>
                <w:rFonts w:ascii="宋体" w:hAnsi="宋体" w:cs="宋体"/>
              </w:rPr>
            </w:pPr>
            <w:r>
              <w:rPr>
                <w:rFonts w:hint="eastAsia" w:ascii="宋体" w:hAnsi="宋体" w:cs="宋体"/>
              </w:rPr>
              <w:t xml:space="preserve">15604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101/115.13</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101/117.18</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101/117.81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101/117.88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100.5/96.5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0.8938</w:t>
            </w:r>
          </w:p>
        </w:tc>
        <w:tc>
          <w:tcPr>
            <w:tcW w:w="922" w:type="pct"/>
            <w:shd w:val="clear" w:color="auto" w:fill="auto"/>
            <w:vAlign w:val="center"/>
          </w:tcPr>
          <w:p>
            <w:pPr>
              <w:jc w:val="center"/>
              <w:rPr>
                <w:rFonts w:ascii="宋体" w:hAnsi="宋体" w:cs="宋体"/>
              </w:rPr>
            </w:pPr>
            <w:r>
              <w:rPr>
                <w:rFonts w:hint="eastAsia" w:ascii="宋体" w:hAnsi="宋体" w:cs="宋体"/>
              </w:rPr>
              <w:t xml:space="preserve">0.8645</w:t>
            </w:r>
          </w:p>
        </w:tc>
        <w:tc>
          <w:tcPr>
            <w:tcW w:w="922" w:type="pct"/>
            <w:shd w:val="clear" w:color="auto" w:fill="auto"/>
            <w:vAlign w:val="center"/>
          </w:tcPr>
          <w:p>
            <w:pPr>
              <w:jc w:val="center"/>
              <w:rPr>
                <w:rFonts w:ascii="宋体" w:hAnsi="宋体" w:cs="宋体"/>
              </w:rPr>
            </w:pPr>
            <w:r>
              <w:rPr>
                <w:rFonts w:hint="eastAsia" w:ascii="宋体" w:hAnsi="宋体" w:cs="宋体"/>
              </w:rPr>
              <w:t xml:space="preserve">0.8381</w:t>
            </w:r>
          </w:p>
        </w:tc>
        <w:tc>
          <w:tcPr>
            <w:tcW w:w="922" w:type="pct"/>
            <w:shd w:val="clear" w:color="auto" w:fill="auto"/>
            <w:vAlign w:val="center"/>
          </w:tcPr>
          <w:p>
            <w:pPr>
              <w:jc w:val="center"/>
              <w:rPr>
                <w:rFonts w:ascii="宋体" w:hAnsi="宋体" w:cs="宋体"/>
              </w:rPr>
            </w:pPr>
            <w:r>
              <w:rPr>
                <w:rFonts w:hint="eastAsia" w:ascii="宋体" w:hAnsi="宋体" w:cs="宋体"/>
              </w:rPr>
              <w:t xml:space="preserve">0.8729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13163</w:t>
            </w:r>
          </w:p>
        </w:tc>
        <w:tc>
          <w:tcPr>
            <w:tcW w:w="922" w:type="pct"/>
            <w:shd w:val="clear" w:color="auto" w:fill="auto"/>
            <w:vAlign w:val="center"/>
          </w:tcPr>
          <w:p>
            <w:pPr>
              <w:jc w:val="center"/>
              <w:rPr>
                <w:rFonts w:ascii="宋体" w:hAnsi="宋体" w:cs="宋体"/>
              </w:rPr>
            </w:pPr>
            <w:r>
              <w:rPr>
                <w:rFonts w:hint="eastAsia" w:ascii="宋体" w:hAnsi="宋体" w:cs="宋体"/>
              </w:rPr>
              <w:t xml:space="preserve">12587</w:t>
            </w:r>
          </w:p>
        </w:tc>
        <w:tc>
          <w:tcPr>
            <w:tcW w:w="922" w:type="pct"/>
            <w:shd w:val="clear" w:color="auto" w:fill="auto"/>
            <w:vAlign w:val="center"/>
          </w:tcPr>
          <w:p>
            <w:pPr>
              <w:jc w:val="center"/>
              <w:rPr>
                <w:rFonts w:ascii="宋体" w:hAnsi="宋体" w:cs="宋体"/>
              </w:rPr>
            </w:pPr>
            <w:r>
              <w:rPr>
                <w:rFonts w:hint="eastAsia" w:ascii="宋体" w:hAnsi="宋体" w:cs="宋体"/>
              </w:rPr>
              <w:t xml:space="preserve">13343</w:t>
            </w:r>
          </w:p>
        </w:tc>
        <w:tc>
          <w:tcPr>
            <w:tcW w:w="922" w:type="pct"/>
            <w:shd w:val="clear" w:color="auto" w:fill="auto"/>
            <w:vAlign w:val="center"/>
          </w:tcPr>
          <w:p>
            <w:pPr>
              <w:jc w:val="center"/>
              <w:rPr>
                <w:rFonts w:ascii="宋体" w:hAnsi="宋体" w:cs="宋体"/>
              </w:rPr>
            </w:pPr>
            <w:r>
              <w:rPr>
                <w:rFonts w:hint="eastAsia" w:ascii="宋体" w:hAnsi="宋体" w:cs="宋体"/>
              </w:rPr>
              <w:t xml:space="preserve">13621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12863</w:t>
            </w:r>
          </w:p>
        </w:tc>
        <w:tc>
          <w:tcPr>
            <w:tcW w:w="922" w:type="pct"/>
            <w:shd w:val="clear" w:color="auto" w:fill="auto"/>
            <w:vAlign w:val="center"/>
          </w:tcPr>
          <w:p>
            <w:pPr>
              <w:jc w:val="center"/>
              <w:rPr>
                <w:rFonts w:ascii="宋体" w:hAnsi="宋体" w:cs="宋体"/>
              </w:rPr>
            </w:pPr>
            <w:r>
              <w:rPr>
                <w:rFonts w:hint="eastAsia" w:ascii="宋体" w:hAnsi="宋体" w:cs="宋体"/>
              </w:rPr>
              <w:t xml:space="preserve">12587</w:t>
            </w:r>
          </w:p>
        </w:tc>
        <w:tc>
          <w:tcPr>
            <w:tcW w:w="922" w:type="pct"/>
            <w:shd w:val="clear" w:color="auto" w:fill="auto"/>
            <w:vAlign w:val="center"/>
          </w:tcPr>
          <w:p>
            <w:pPr>
              <w:jc w:val="center"/>
              <w:rPr>
                <w:rFonts w:ascii="宋体" w:hAnsi="宋体" w:cs="宋体"/>
              </w:rPr>
            </w:pPr>
            <w:r>
              <w:rPr>
                <w:rFonts w:hint="eastAsia" w:ascii="宋体" w:hAnsi="宋体" w:cs="宋体"/>
              </w:rPr>
              <w:t xml:space="preserve">13343</w:t>
            </w:r>
          </w:p>
        </w:tc>
        <w:tc>
          <w:tcPr>
            <w:tcW w:w="922" w:type="pct"/>
            <w:shd w:val="clear" w:color="auto" w:fill="auto"/>
            <w:vAlign w:val="center"/>
          </w:tcPr>
          <w:p>
            <w:pPr>
              <w:jc w:val="center"/>
              <w:rPr>
                <w:rFonts w:ascii="宋体" w:hAnsi="宋体" w:cs="宋体"/>
              </w:rPr>
            </w:pPr>
            <w:r>
              <w:rPr>
                <w:rFonts w:hint="eastAsia" w:ascii="宋体" w:hAnsi="宋体" w:cs="宋体"/>
              </w:rPr>
              <w:t xml:space="preserve">13321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13028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bookmarkStart w:name="_GoBack" w:id="27"/>
      <w:bookmarkEnd w:id="27"/>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s202308290172</w:t>
            </w:r>
          </w:p>
        </w:tc>
        <w:tc>
          <w:tcPr>
            <w:tcW w:w="1842" w:type="dxa"/>
            <w:vAlign w:val="center"/>
          </w:tcPr>
          <w:p>
            <w:pPr>
              <w:jc w:val="center"/>
            </w:pPr>
            <w:r>
              <w:rPr>
                <w:rFonts w:hint="eastAsia" w:ascii="宋体" w:hAnsi="宋体" w:cs="宋体"/>
              </w:rPr>
              <w:t xml:space="preserve">s202311080261</w:t>
            </w:r>
          </w:p>
        </w:tc>
        <w:tc>
          <w:tcPr>
            <w:tcW w:w="1843" w:type="dxa"/>
            <w:vAlign w:val="center"/>
          </w:tcPr>
          <w:p>
            <w:pPr>
              <w:jc w:val="center"/>
            </w:pPr>
            <w:r>
              <w:rPr>
                <w:rFonts w:hint="eastAsia" w:ascii="宋体" w:hAnsi="宋体" w:cs="宋体"/>
              </w:rPr>
              <w:t xml:space="preserve">s202309200225</w:t>
            </w:r>
          </w:p>
        </w:tc>
        <w:tc>
          <w:tcPr>
            <w:tcW w:w="1985" w:type="dxa"/>
            <w:vAlign w:val="center"/>
          </w:tcPr>
          <w:p>
            <w:pPr>
              <w:jc w:val="center"/>
            </w:pPr>
            <w:r>
              <w:rPr>
                <w:rFonts w:hint="eastAsia" w:ascii="宋体" w:hAnsi="宋体" w:cs="宋体"/>
              </w:rPr>
              <w:t xml:space="preserve">s202309210054</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千邑悦庭19幢1001</w:t>
            </w:r>
          </w:p>
        </w:tc>
        <w:tc>
          <w:tcPr>
            <w:tcW w:w="1842" w:type="dxa"/>
            <w:vAlign w:val="center"/>
          </w:tcPr>
          <w:p>
            <w:pPr>
              <w:jc w:val="center"/>
            </w:pPr>
            <w:r>
              <w:rPr>
                <w:rFonts w:hint="eastAsia" w:ascii="宋体" w:hAnsi="宋体" w:cs="宋体"/>
              </w:rPr>
              <w:t xml:space="preserve">山湖弘雅苑28幢1803</w:t>
            </w:r>
          </w:p>
        </w:tc>
        <w:tc>
          <w:tcPr>
            <w:tcW w:w="1843" w:type="dxa"/>
            <w:vAlign w:val="center"/>
          </w:tcPr>
          <w:p>
            <w:pPr>
              <w:jc w:val="center"/>
            </w:pPr>
            <w:r>
              <w:rPr>
                <w:rFonts w:hint="eastAsia" w:ascii="宋体" w:hAnsi="宋体" w:cs="宋体"/>
              </w:rPr>
              <w:t xml:space="preserve">太湖明珠城聆湖苑3幢1704</w:t>
            </w:r>
          </w:p>
        </w:tc>
        <w:tc>
          <w:tcPr>
            <w:tcW w:w="1985" w:type="dxa"/>
            <w:vAlign w:val="center"/>
          </w:tcPr>
          <w:p>
            <w:pPr>
              <w:jc w:val="center"/>
            </w:pPr>
            <w:r>
              <w:rPr>
                <w:rFonts w:hint="eastAsia" w:ascii="宋体" w:hAnsi="宋体" w:cs="宋体"/>
              </w:rPr>
              <w:t xml:space="preserve">千邑悦庭8幢1501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千邑悦庭19幢1001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山湖弘雅苑28幢1803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太湖明珠城聆湖苑3幢1704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千邑悦庭8幢1501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pn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WWO_base_provider_20221031101348-1857be321c</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2020-03-31T18:20:00Z</cp:lastPrinted>
  <dcterms:created xsi:type="dcterms:W3CDTF">2023-05-06T17:44:00Z</dcterms:created>
  <dcterms:modified xsi:type="dcterms:W3CDTF">2024-04-28T10:05:15Z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