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苏吴地评税字(2024)吴江第00684号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苏州市吴江区吴江松陵片区</w:t>
      </w:r>
      <w:r>
        <w:rPr>
          <w:rFonts w:ascii="宋体" w:hAnsi="宋体" w:eastAsia="宋体" w:asciiTheme="minorEastAsia" w:hAnsiTheme="minorEastAsia" w:eastAsiaTheme="minorEastAsia"/>
          <w:sz w:val="24"/>
          <w:szCs w:val="24"/>
        </w:rPr>
        <w:t xml:space="preserve">鸿兴名邸普通多层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2024年04月24日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估价对象位于苏州市吴江区区域范围内的鸿兴名邸住宅小区普通多层存量房。该小区内的物业类型包括：</w:t>
      </w:r>
      <w:r>
        <w:rPr>
          <w:rFonts w:ascii="宋体"/>
          <w:sz w:val="24"/>
        </w:rPr>
        <w:t xml:space="preserve">普通多层、小高层、高层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月修订版），结合估价人员现场查勘，选取鸿兴名邸</w:t>
      </w:r>
      <w:r>
        <w:rPr>
          <w:rFonts w:ascii="宋体"/>
          <w:sz w:val="24"/>
        </w:rPr>
        <w:t xml:space="preserve">3幢102室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121.35</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2010</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玖仟伍佰玖拾元整</w:t>
      </w:r>
      <w:r>
        <w:rPr>
          <w:rFonts w:hint="eastAsia" w:ascii="宋体" w:hAnsi="宋体"/>
          <w:b/>
          <w:bCs/>
          <w:sz w:val="24"/>
        </w:rPr>
        <w:t xml:space="preserve">（RMB</w:t>
      </w:r>
      <w:r>
        <w:rPr>
          <w:rFonts w:ascii="宋体" w:hAnsi="宋体"/>
          <w:b/>
          <w:bCs/>
          <w:sz w:val="24"/>
        </w:rPr>
        <w:t xml:space="preserve"> 9590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2024年04月24日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5.本报告作为整体使用时有效。若房地产市场无重大波动，本估价报告自出具日起一年内有效，从2024年04月24日至</w:t>
      </w:r>
      <w:r>
        <w:rPr>
          <w:rFonts w:ascii="宋体" w:hAnsi="宋体"/>
          <w:sz w:val="24"/>
        </w:rPr>
        <w:t xml:space="preserve">2025年04月23日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估价对象为鸿兴名邸</w:t>
      </w:r>
      <w:r>
        <w:rPr>
          <w:rFonts w:ascii="宋体" w:hAnsi="宋体"/>
          <w:sz w:val="24"/>
        </w:rPr>
        <w:t xml:space="preserve">3幢102室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江兴大桥南侧</w:t>
      </w:r>
      <w:r>
        <w:rPr>
          <w:rFonts w:hint="eastAsia" w:hAnsi="宋体"/>
          <w:sz w:val="24"/>
        </w:rPr>
        <w:t xml:space="preserve">的“鸿兴名邸”住宅区内。</w:t>
      </w:r>
      <w:r>
        <w:rPr>
          <w:rFonts w:hint="eastAsia" w:ascii="宋体" w:hAnsi="宋体"/>
          <w:sz w:val="24"/>
        </w:rPr>
        <w:t xml:space="preserve">估价对象东至</w:t>
      </w:r>
      <w:r>
        <w:rPr>
          <w:rFonts w:ascii="宋体" w:hAnsi="宋体"/>
          <w:sz w:val="24"/>
          <w:szCs w:val="24"/>
        </w:rPr>
        <w:t xml:space="preserve">交通路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中山北路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住宅小区</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江兴西路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121.35</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江兴大桥南侧</w:t>
      </w:r>
      <w:r>
        <w:rPr>
          <w:rFonts w:hint="eastAsia" w:hAnsi="宋体"/>
          <w:sz w:val="24"/>
        </w:rPr>
        <w:t xml:space="preserve">的“鸿兴名邸”住宅区内。该小区内的物业类型包括：</w:t>
      </w:r>
      <w:r>
        <w:rPr>
          <w:rFonts w:hAnsi="宋体"/>
          <w:sz w:val="24"/>
        </w:rPr>
        <w:t xml:space="preserve">普通多层、小高层、高层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鸿兴名邸</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“鸿兴名邸”小区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由于鸿兴名邸市场交易不活跃，片区内可选案例较少，因此选择的案例A，B，C，D，距离在3公里以外。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鸿兴名邸住宅2024年4月挂牌均价14431元/平方米，较年初持平。待评估二手房住宅近10个月（2023年07月-2024年04月）挂牌均价波动幅度较小，价格维持在14103-14431元/平方米之间。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均价说明：鸿兴名邸小区物业类型包括：普通多层、小高层、高层,房源均价为:14431元/平方米，包含毛坯价值以及附带装修价值。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9"/>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该房屋为6层住宅楼的第1层，建于2010年，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121.35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玖仟伍佰玖拾元整</w:t>
      </w:r>
      <w:r>
        <w:rPr>
          <w:rFonts w:hint="eastAsia" w:ascii="宋体" w:hAnsi="宋体"/>
          <w:b/>
          <w:bCs/>
          <w:sz w:val="24"/>
        </w:rPr>
        <w:t xml:space="preserve">（RMB </w:t>
      </w:r>
      <w:r>
        <w:rPr>
          <w:rFonts w:ascii="宋体" w:hAnsi="宋体"/>
          <w:b/>
          <w:bCs/>
          <w:sz w:val="24"/>
        </w:rPr>
        <w:t xml:space="preserve">9590</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116.37</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9590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2024年04月16日</w:t>
      </w:r>
      <w:r>
        <w:rPr>
          <w:rFonts w:hint="eastAsia" w:ascii="宋体"/>
          <w:sz w:val="24"/>
        </w:rPr>
        <w:t xml:space="preserve">至2024年04月24日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估价对象为苏州市吴江区“鸿兴名邸”住宅区内的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位于交通北路西侧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交通北路西侧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附近有701路、733路、705路、712路、709路等多条公交线路</w:t>
      </w:r>
      <w:r>
        <w:rPr>
          <w:rFonts w:hint="eastAsia" w:hAnsi="宋体"/>
          <w:sz w:val="24"/>
        </w:rPr>
        <w:t xml:space="preserve">，</w:t>
      </w:r>
      <w:r>
        <w:rPr>
          <w:rFonts w:hAnsi="宋体"/>
          <w:sz w:val="24"/>
        </w:rPr>
        <w:t xml:space="preserve">至公交站点的距离约为400米，公交班次平均隔10分钟有一辆汽车通过。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上海佳联超市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中国建设银行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新天地农贸市场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爱儿法幼儿园</w:t>
      </w:r>
      <w:r>
        <w:rPr>
          <w:rFonts w:hint="eastAsia" w:ascii="宋体" w:hAnsi="宋体" w:eastAsia="宋体" w:asciiTheme="minorEastAsia" w:hAnsiTheme="minorEastAsia" w:eastAsiaTheme="minorEastAsia"/>
          <w:sz w:val="24"/>
        </w:rPr>
        <w:t xml:space="preserve">、</w:t>
      </w:r>
      <w:r>
        <w:rPr>
          <w:rFonts w:hAnsi="宋体"/>
          <w:sz w:val="24"/>
        </w:rPr>
        <w:t xml:space="preserve">松陵镇第二中心小学（育才分校）</w:t>
      </w:r>
      <w:r>
        <w:rPr>
          <w:rFonts w:hint="eastAsia" w:hAnsi="宋体"/>
          <w:sz w:val="24"/>
        </w:rPr>
        <w:t xml:space="preserve">、</w:t>
      </w:r>
      <w:r>
        <w:rPr>
          <w:rFonts w:hAnsi="宋体"/>
          <w:sz w:val="24"/>
        </w:rPr>
        <w:t xml:space="preserve">吴江高级中学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交通路</w:t>
      </w:r>
      <w:r>
        <w:rPr>
          <w:rFonts w:hint="eastAsia" w:ascii="宋体" w:hAnsi="宋体"/>
          <w:sz w:val="24"/>
        </w:rPr>
        <w:t xml:space="preserve">，南至</w:t>
      </w:r>
      <w:r>
        <w:rPr>
          <w:rFonts w:ascii="宋体" w:hAnsi="宋体"/>
          <w:sz w:val="24"/>
        </w:rPr>
        <w:t xml:space="preserve">中山北路</w:t>
      </w:r>
      <w:r>
        <w:rPr>
          <w:rFonts w:hint="eastAsia" w:ascii="宋体" w:hAnsi="宋体"/>
          <w:sz w:val="24"/>
        </w:rPr>
        <w:t xml:space="preserve">，西至</w:t>
      </w:r>
      <w:r>
        <w:rPr>
          <w:rFonts w:ascii="宋体" w:hAnsi="宋体"/>
          <w:sz w:val="24"/>
        </w:rPr>
        <w:t xml:space="preserve">住宅小区</w:t>
      </w:r>
      <w:r>
        <w:rPr>
          <w:rFonts w:hint="eastAsia" w:ascii="宋体" w:hAnsi="宋体"/>
          <w:sz w:val="24"/>
        </w:rPr>
        <w:t xml:space="preserve">，北至</w:t>
      </w:r>
      <w:r>
        <w:rPr>
          <w:rFonts w:ascii="宋体" w:hAnsi="宋体"/>
          <w:sz w:val="24"/>
        </w:rPr>
        <w:t xml:space="preserve">江兴西路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估价对象为坐落于苏州市吴江区鸿兴名邸</w:t>
      </w:r>
      <w:r>
        <w:t xml:space="preserve"> </w:t>
      </w:r>
      <w:r>
        <w:rPr>
          <w:rFonts w:ascii="宋体" w:hAnsi="宋体"/>
          <w:kern w:val="2"/>
          <w:sz w:val="24"/>
        </w:rPr>
        <w:t xml:space="preserve">3幢102室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121.35</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估价对象建成于2010年，基础较为稳固，未见沉降；墙面、地面、门窗等保养完好，综合保养成新度为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鸿兴名邸住宅2024年4月挂牌均价14431元/平方米，较年初持平。待评估二手房住宅近10个月（2023年07月-2024年04月）挂牌均价波动幅度较小，价格维持在14103-14431元/平方米之间。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9"/>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苏州市吴江区鸿兴名邸</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F32050920230028958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F32050920230028499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s202309040028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s202307310021</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吴江区吴江松陵片区鸿兴名邸3幢102室普通多层住宅标准房基准价格评估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锦尚花园34幢402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金丰花园8幢404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交通路口1999号13幢204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锦泰花园9幢506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121.35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128.69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106.66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四等（3.5）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2023年07月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9282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9533</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2024年03月16日</w:t>
            </w:r>
          </w:p>
        </w:tc>
        <w:tc>
          <w:tcPr>
            <w:tcW w:w="778"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2023年07月</w:t>
            </w:r>
          </w:p>
        </w:tc>
        <w:tc>
          <w:tcPr>
            <w:tcW w:w="779" w:type="pct"/>
            <w:shd w:val="clear" w:color="auto" w:fill="FFFFFF"/>
            <w:vAlign w:val="center"/>
          </w:tcPr>
          <w:p>
            <w:pPr>
              <w:jc w:val="center"/>
            </w:pPr>
            <w:r>
              <w:rPr>
                <w:rFonts w:hint="eastAsia" w:ascii="宋体" w:hAnsi="宋体" w:cs="宋体"/>
              </w:rPr>
              <w:t xml:space="preserve">2023年10月</w:t>
            </w:r>
          </w:p>
        </w:tc>
        <w:tc>
          <w:tcPr>
            <w:tcW w:w="779" w:type="pct"/>
            <w:shd w:val="clear" w:color="auto" w:fill="FFFFFF"/>
            <w:vAlign w:val="center"/>
          </w:tcPr>
          <w:p>
            <w:pPr>
              <w:jc w:val="center"/>
            </w:pPr>
            <w:r>
              <w:rPr>
                <w:rFonts w:hint="eastAsia" w:ascii="宋体" w:hAnsi="宋体" w:cs="宋体"/>
              </w:rPr>
              <w:t xml:space="preserve">2023年10月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9014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9008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9282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9533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1971</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2070</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1971/2070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0.952</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0.952</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备注：在价值时点2024年04月16日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1596838" w:id="21"/>
      <w:bookmarkStart w:name="_Toc35232566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1"/>
            <o:lock v:ext="edit" aspectratio="t"/>
            <w10:anchorlock/>
          </v:shape>
          <o:OLEObject Type="Embed" ProgID="Equation.3" ShapeID="_x0000_i0003" DrawAspect="Content" ObjectID="_968634388"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吴江区吴江松陵片区鸿兴名邸3幢102室普通多层住宅标准房基准价格评估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锦尚花园34幢402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金丰花园8幢404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交通路口1999号13幢204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锦泰花园9幢506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121.35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128.69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134.11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106.66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103.03</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1.0587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9533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9310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9817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9014</w:t>
            </w:r>
          </w:p>
        </w:tc>
        <w:tc>
          <w:tcPr>
            <w:tcW w:w="922" w:type="pct"/>
            <w:shd w:val="clear" w:color="auto" w:fill="auto"/>
            <w:vAlign w:val="center"/>
          </w:tcPr>
          <w:p>
            <w:pPr>
              <w:jc w:val="center"/>
              <w:rPr>
                <w:rFonts w:ascii="宋体" w:hAnsi="宋体" w:cs="宋体"/>
              </w:rPr>
            </w:pPr>
            <w:r>
              <w:rPr>
                <w:rFonts w:hint="eastAsia" w:ascii="宋体" w:hAnsi="宋体" w:cs="宋体"/>
              </w:rPr>
              <w:t xml:space="preserve">9008</w:t>
            </w:r>
          </w:p>
        </w:tc>
        <w:tc>
          <w:tcPr>
            <w:tcW w:w="922" w:type="pct"/>
            <w:shd w:val="clear" w:color="auto" w:fill="auto"/>
            <w:vAlign w:val="center"/>
          </w:tcPr>
          <w:p>
            <w:pPr>
              <w:jc w:val="center"/>
              <w:rPr>
                <w:rFonts w:ascii="宋体" w:hAnsi="宋体" w:cs="宋体"/>
              </w:rPr>
            </w:pPr>
            <w:r>
              <w:rPr>
                <w:rFonts w:hint="eastAsia" w:ascii="宋体" w:hAnsi="宋体" w:cs="宋体"/>
              </w:rPr>
              <w:t xml:space="preserve">9282</w:t>
            </w:r>
          </w:p>
        </w:tc>
        <w:tc>
          <w:tcPr>
            <w:tcW w:w="922" w:type="pct"/>
            <w:shd w:val="clear" w:color="auto" w:fill="auto"/>
            <w:vAlign w:val="center"/>
          </w:tcPr>
          <w:p>
            <w:pPr>
              <w:jc w:val="center"/>
              <w:rPr>
                <w:rFonts w:ascii="宋体" w:hAnsi="宋体" w:cs="宋体"/>
              </w:rPr>
            </w:pPr>
            <w:r>
              <w:rPr>
                <w:rFonts w:hint="eastAsia" w:ascii="宋体" w:hAnsi="宋体" w:cs="宋体"/>
              </w:rPr>
              <w:t xml:space="preserve">9533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109.08/101.49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109.08/101.49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109.08/103.03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100.5/97.5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1.0335</w:t>
            </w:r>
          </w:p>
        </w:tc>
        <w:tc>
          <w:tcPr>
            <w:tcW w:w="922" w:type="pct"/>
            <w:shd w:val="clear" w:color="auto" w:fill="auto"/>
            <w:vAlign w:val="center"/>
          </w:tcPr>
          <w:p>
            <w:pPr>
              <w:jc w:val="center"/>
              <w:rPr>
                <w:rFonts w:ascii="宋体" w:hAnsi="宋体" w:cs="宋体"/>
              </w:rPr>
            </w:pPr>
            <w:r>
              <w:rPr>
                <w:rFonts w:hint="eastAsia" w:ascii="宋体" w:hAnsi="宋体" w:cs="宋体"/>
              </w:rPr>
              <w:t xml:space="preserve">1.0669</w:t>
            </w:r>
          </w:p>
        </w:tc>
        <w:tc>
          <w:tcPr>
            <w:tcW w:w="922" w:type="pct"/>
            <w:shd w:val="clear" w:color="auto" w:fill="auto"/>
            <w:vAlign w:val="center"/>
          </w:tcPr>
          <w:p>
            <w:pPr>
              <w:jc w:val="center"/>
              <w:rPr>
                <w:rFonts w:ascii="宋体" w:hAnsi="宋体" w:cs="宋体"/>
              </w:rPr>
            </w:pPr>
            <w:r>
              <w:rPr>
                <w:rFonts w:hint="eastAsia" w:ascii="宋体" w:hAnsi="宋体" w:cs="宋体"/>
              </w:rPr>
              <w:t xml:space="preserve">1.0298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9329</w:t>
            </w:r>
          </w:p>
        </w:tc>
        <w:tc>
          <w:tcPr>
            <w:tcW w:w="922" w:type="pct"/>
            <w:shd w:val="clear" w:color="auto" w:fill="auto"/>
            <w:vAlign w:val="center"/>
          </w:tcPr>
          <w:p>
            <w:pPr>
              <w:jc w:val="center"/>
              <w:rPr>
                <w:rFonts w:ascii="宋体" w:hAnsi="宋体" w:cs="宋体"/>
              </w:rPr>
            </w:pPr>
            <w:r>
              <w:rPr>
                <w:rFonts w:hint="eastAsia" w:ascii="宋体" w:hAnsi="宋体" w:cs="宋体"/>
              </w:rPr>
              <w:t xml:space="preserve">9310</w:t>
            </w:r>
          </w:p>
        </w:tc>
        <w:tc>
          <w:tcPr>
            <w:tcW w:w="922" w:type="pct"/>
            <w:shd w:val="clear" w:color="auto" w:fill="auto"/>
            <w:vAlign w:val="center"/>
          </w:tcPr>
          <w:p>
            <w:pPr>
              <w:jc w:val="center"/>
              <w:rPr>
                <w:rFonts w:ascii="宋体" w:hAnsi="宋体" w:cs="宋体"/>
              </w:rPr>
            </w:pPr>
            <w:r>
              <w:rPr>
                <w:rFonts w:hint="eastAsia" w:ascii="宋体" w:hAnsi="宋体" w:cs="宋体"/>
              </w:rPr>
              <w:t xml:space="preserve">9903</w:t>
            </w:r>
          </w:p>
        </w:tc>
        <w:tc>
          <w:tcPr>
            <w:tcW w:w="922" w:type="pct"/>
            <w:shd w:val="clear" w:color="auto" w:fill="auto"/>
            <w:vAlign w:val="center"/>
          </w:tcPr>
          <w:p>
            <w:pPr>
              <w:jc w:val="center"/>
              <w:rPr>
                <w:rFonts w:ascii="宋体" w:hAnsi="宋体" w:cs="宋体"/>
              </w:rPr>
            </w:pPr>
            <w:r>
              <w:rPr>
                <w:rFonts w:hint="eastAsia" w:ascii="宋体" w:hAnsi="宋体" w:cs="宋体"/>
              </w:rPr>
              <w:t xml:space="preserve">9817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9329</w:t>
            </w:r>
          </w:p>
        </w:tc>
        <w:tc>
          <w:tcPr>
            <w:tcW w:w="922" w:type="pct"/>
            <w:shd w:val="clear" w:color="auto" w:fill="auto"/>
            <w:vAlign w:val="center"/>
          </w:tcPr>
          <w:p>
            <w:pPr>
              <w:jc w:val="center"/>
              <w:rPr>
                <w:rFonts w:ascii="宋体" w:hAnsi="宋体" w:cs="宋体"/>
              </w:rPr>
            </w:pPr>
            <w:r>
              <w:rPr>
                <w:rFonts w:hint="eastAsia" w:ascii="宋体" w:hAnsi="宋体" w:cs="宋体"/>
              </w:rPr>
              <w:t xml:space="preserve">9310</w:t>
            </w:r>
          </w:p>
        </w:tc>
        <w:tc>
          <w:tcPr>
            <w:tcW w:w="922" w:type="pct"/>
            <w:shd w:val="clear" w:color="auto" w:fill="auto"/>
            <w:vAlign w:val="center"/>
          </w:tcPr>
          <w:p>
            <w:pPr>
              <w:jc w:val="center"/>
              <w:rPr>
                <w:rFonts w:ascii="宋体" w:hAnsi="宋体" w:cs="宋体"/>
              </w:rPr>
            </w:pPr>
            <w:r>
              <w:rPr>
                <w:rFonts w:hint="eastAsia" w:ascii="宋体" w:hAnsi="宋体" w:cs="宋体"/>
              </w:rPr>
              <w:t xml:space="preserve">9903</w:t>
            </w:r>
          </w:p>
        </w:tc>
        <w:tc>
          <w:tcPr>
            <w:tcW w:w="922" w:type="pct"/>
            <w:shd w:val="clear" w:color="auto" w:fill="auto"/>
            <w:vAlign w:val="center"/>
          </w:tcPr>
          <w:p>
            <w:pPr>
              <w:jc w:val="center"/>
              <w:rPr>
                <w:rFonts w:ascii="宋体" w:hAnsi="宋体" w:cs="宋体"/>
              </w:rPr>
            </w:pPr>
            <w:r>
              <w:rPr>
                <w:rFonts w:hint="eastAsia" w:ascii="宋体" w:hAnsi="宋体" w:cs="宋体"/>
              </w:rPr>
              <w:t xml:space="preserve">9817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9590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bookmarkStart w:name="_GoBack" w:id="27"/>
      <w:bookmarkEnd w:id="27"/>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F32050920230028958</w:t>
            </w:r>
          </w:p>
        </w:tc>
        <w:tc>
          <w:tcPr>
            <w:tcW w:w="1842" w:type="dxa"/>
            <w:vAlign w:val="center"/>
          </w:tcPr>
          <w:p>
            <w:pPr>
              <w:jc w:val="center"/>
            </w:pPr>
            <w:r>
              <w:rPr>
                <w:rFonts w:hint="eastAsia" w:ascii="宋体" w:hAnsi="宋体" w:cs="宋体"/>
              </w:rPr>
              <w:t xml:space="preserve">F32050920230028499</w:t>
            </w:r>
          </w:p>
        </w:tc>
        <w:tc>
          <w:tcPr>
            <w:tcW w:w="1843" w:type="dxa"/>
            <w:vAlign w:val="center"/>
          </w:tcPr>
          <w:p>
            <w:pPr>
              <w:jc w:val="center"/>
            </w:pPr>
            <w:r>
              <w:rPr>
                <w:rFonts w:hint="eastAsia" w:ascii="宋体" w:hAnsi="宋体" w:cs="宋体"/>
              </w:rPr>
              <w:t xml:space="preserve">s202309040028</w:t>
            </w:r>
          </w:p>
        </w:tc>
        <w:tc>
          <w:tcPr>
            <w:tcW w:w="1985" w:type="dxa"/>
            <w:vAlign w:val="center"/>
          </w:tcPr>
          <w:p>
            <w:pPr>
              <w:jc w:val="center"/>
            </w:pPr>
            <w:r>
              <w:rPr>
                <w:rFonts w:hint="eastAsia" w:ascii="宋体" w:hAnsi="宋体" w:cs="宋体"/>
              </w:rPr>
              <w:t xml:space="preserve">s202307310021</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锦尚花园34幢402</w:t>
            </w:r>
          </w:p>
        </w:tc>
        <w:tc>
          <w:tcPr>
            <w:tcW w:w="1842" w:type="dxa"/>
            <w:vAlign w:val="center"/>
          </w:tcPr>
          <w:p>
            <w:pPr>
              <w:jc w:val="center"/>
            </w:pPr>
            <w:r>
              <w:rPr>
                <w:rFonts w:hint="eastAsia" w:ascii="宋体" w:hAnsi="宋体" w:cs="宋体"/>
              </w:rPr>
              <w:t xml:space="preserve">金丰花园8幢404</w:t>
            </w:r>
          </w:p>
        </w:tc>
        <w:tc>
          <w:tcPr>
            <w:tcW w:w="1843" w:type="dxa"/>
            <w:vAlign w:val="center"/>
          </w:tcPr>
          <w:p>
            <w:pPr>
              <w:jc w:val="center"/>
            </w:pPr>
            <w:r>
              <w:rPr>
                <w:rFonts w:hint="eastAsia" w:ascii="宋体" w:hAnsi="宋体" w:cs="宋体"/>
              </w:rPr>
              <w:t xml:space="preserve">交通路口1999号13幢204</w:t>
            </w:r>
          </w:p>
        </w:tc>
        <w:tc>
          <w:tcPr>
            <w:tcW w:w="1985" w:type="dxa"/>
            <w:vAlign w:val="center"/>
          </w:tcPr>
          <w:p>
            <w:pPr>
              <w:jc w:val="center"/>
            </w:pPr>
            <w:r>
              <w:rPr>
                <w:rFonts w:hint="eastAsia" w:ascii="宋体" w:hAnsi="宋体" w:cs="宋体"/>
              </w:rPr>
              <w:t xml:space="preserve">锦泰花园9幢506</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锦尚花园34幢402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金丰花园8幢404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交通路口1999号13幢204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锦泰花园9幢506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pn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WWO_base_provider_20221031101348-1857be321c</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2020-03-31T18:20:00Z</cp:lastPrinted>
  <dcterms:created xsi:type="dcterms:W3CDTF">2023-05-06T17:44:00Z</dcterms:created>
  <dcterms:modified xsi:type="dcterms:W3CDTF">2024-04-28T10:05:15Z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