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苏吴地评税字(2024)吴江第00689号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风华上品花园高层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2024年04月24日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估价对象位于苏州市吴江区区域范围内的风华上品花园住宅小区高层存量房。该小区内的物业类型包括：</w:t>
      </w:r>
      <w:r>
        <w:rPr>
          <w:rFonts w:ascii="宋体"/>
          <w:sz w:val="24"/>
        </w:rPr>
        <w:t xml:space="preserve">小高层、高层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月修订版），结合估价人员现场查勘，选取风华上品花园</w:t>
      </w:r>
      <w:r>
        <w:rPr>
          <w:rFonts w:ascii="宋体"/>
          <w:sz w:val="24"/>
        </w:rPr>
        <w:t xml:space="preserve">17幢102室</w:t>
      </w:r>
      <w:r>
        <w:rPr>
          <w:rFonts w:hint="eastAsia" w:ascii="宋体"/>
          <w:sz w:val="24"/>
        </w:rPr>
        <w:t xml:space="preserve">为该小区</w:t>
      </w:r>
      <w:r>
        <w:rPr>
          <w:rFonts w:ascii="宋体"/>
          <w:sz w:val="24"/>
        </w:rPr>
        <w:t xml:space="preserve">钢混结构</w:t>
      </w:r>
      <w:r>
        <w:rPr>
          <w:rFonts w:hint="eastAsia" w:ascii="宋体"/>
          <w:sz w:val="24"/>
        </w:rPr>
        <w:t xml:space="preserve">高层的标准样本房，所在楼层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33</w:t>
      </w:r>
      <w:r>
        <w:rPr>
          <w:rFonts w:hint="eastAsia" w:ascii="宋体"/>
          <w:sz w:val="24"/>
        </w:rPr>
        <w:t xml:space="preserve">层，建筑面积</w:t>
      </w:r>
      <w:r>
        <w:rPr>
          <w:rFonts w:ascii="宋体"/>
          <w:sz w:val="24"/>
        </w:rPr>
        <w:t xml:space="preserve">94.83</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2016</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2085年11月29日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2024年04月16日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2024年04月16日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壹万伍仟壹佰玖拾叁元整</w:t>
      </w:r>
      <w:r>
        <w:rPr>
          <w:rFonts w:hint="eastAsia" w:ascii="宋体" w:hAnsi="宋体"/>
          <w:b/>
          <w:bCs/>
          <w:sz w:val="24"/>
        </w:rPr>
        <w:t xml:space="preserve">（RMB</w:t>
      </w:r>
      <w:r>
        <w:rPr>
          <w:rFonts w:ascii="宋体" w:hAnsi="宋体"/>
          <w:b/>
          <w:bCs/>
          <w:sz w:val="24"/>
        </w:rPr>
        <w:t xml:space="preserve"> 15193</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2024年04月24日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2024年04月24日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2024年04月24日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2024年04月24日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5.本报告作为整体使用时有效。若房地产市场无重大波动，本估价报告自出具日起一年内有效，从2024年04月24日至</w:t>
      </w:r>
      <w:r>
        <w:rPr>
          <w:rFonts w:ascii="宋体" w:hAnsi="宋体"/>
          <w:sz w:val="24"/>
        </w:rPr>
        <w:t xml:space="preserve">2025年04月23日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估价对象为风华上品花园</w:t>
      </w:r>
      <w:r>
        <w:rPr>
          <w:rFonts w:ascii="宋体" w:hAnsi="宋体"/>
          <w:sz w:val="24"/>
        </w:rPr>
        <w:t xml:space="preserve">17幢102室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秋枫街西侧</w:t>
      </w:r>
      <w:r>
        <w:rPr>
          <w:rFonts w:hint="eastAsia" w:hAnsi="宋体"/>
          <w:sz w:val="24"/>
        </w:rPr>
        <w:t xml:space="preserve">的“风华上品花园”住宅区内。</w:t>
      </w:r>
      <w:r>
        <w:rPr>
          <w:rFonts w:hint="eastAsia" w:ascii="宋体" w:hAnsi="宋体"/>
          <w:sz w:val="24"/>
        </w:rPr>
        <w:t xml:space="preserve">估价对象东至</w:t>
      </w:r>
      <w:r>
        <w:rPr>
          <w:rFonts w:ascii="宋体" w:hAnsi="宋体"/>
          <w:sz w:val="24"/>
          <w:szCs w:val="24"/>
        </w:rPr>
        <w:t xml:space="preserve">秋枫街</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四欣路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夏蓉街</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高新路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94.83</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秋枫街西侧</w:t>
      </w:r>
      <w:r>
        <w:rPr>
          <w:rFonts w:hint="eastAsia" w:hAnsi="宋体"/>
          <w:sz w:val="24"/>
        </w:rPr>
        <w:t xml:space="preserve">的“风华上品花园”住宅区内。该小区内的物业类型包括：</w:t>
      </w:r>
      <w:r>
        <w:rPr>
          <w:rFonts w:hAnsi="宋体"/>
          <w:sz w:val="24"/>
        </w:rPr>
        <w:t xml:space="preserve">小高层、高层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风华上品花园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“风华上品花园”小区</w:t>
            </w:r>
            <w:r>
              <w:rPr>
                <w:rFonts w:ascii="Cambria" w:hAnsi="宋体" w:eastAsia="黑体" w:cs="Times New Roman" w:asciiTheme="majorHAnsi" w:cstheme="majorBidi"/>
                <w:sz w:val="15"/>
                <w:szCs w:val="15"/>
              </w:rPr>
              <w:t xml:space="preserve">17幢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由于风华上品花园市场交易不活跃，片区内可选案例较少，因此选择的案例A，B，D，距离在3公里以外。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风华上品花园住宅2024年4月挂牌均价24742元/平方米，较年初持平。待评估二手房住宅近8个月（2023年09月-2024年04月）挂牌均价波动幅度较小，价格维持在24742-26663元/平方米之间。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均价说明：风华上品花园小区物业类型包括：小高层、高层,房源均价为:24742元/平方米，包含毛坯价值以及附带装修价值。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该房屋为33层住宅楼的第1层，建于2016年，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94.83</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2085年11月29日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2024年04月16日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壹万伍仟壹佰玖拾叁元整</w:t>
      </w:r>
      <w:r>
        <w:rPr>
          <w:rFonts w:hint="eastAsia" w:ascii="宋体" w:hAnsi="宋体"/>
          <w:b/>
          <w:bCs/>
          <w:sz w:val="24"/>
        </w:rPr>
        <w:t xml:space="preserve">（RMB </w:t>
      </w:r>
      <w:r>
        <w:rPr>
          <w:rFonts w:ascii="宋体" w:hAnsi="宋体"/>
          <w:b/>
          <w:bCs/>
          <w:sz w:val="24"/>
        </w:rPr>
        <w:t xml:space="preserve">15193</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144.08</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15193</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2024年04月24日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2024年04月24日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本次实地查勘期为2024年04月16日，并于当日完成现场查勘。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2024年04月16日</w:t>
      </w:r>
      <w:r>
        <w:rPr>
          <w:rFonts w:hint="eastAsia" w:ascii="宋体"/>
          <w:sz w:val="24"/>
        </w:rPr>
        <w:t xml:space="preserve">至2024年04月24日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估价对象为苏州市吴江区“风华上品花园”住宅区内的</w:t>
      </w:r>
      <w:r>
        <w:rPr>
          <w:rFonts w:hAnsi="宋体"/>
          <w:sz w:val="24"/>
        </w:rPr>
        <w:t xml:space="preserve">高层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位于四欣路北侧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四欣路北侧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附近有720路、742路、722路、716路、719路、726路、742路公交线路</w:t>
      </w:r>
      <w:r>
        <w:rPr>
          <w:rFonts w:hint="eastAsia" w:hAnsi="宋体"/>
          <w:sz w:val="24"/>
        </w:rPr>
        <w:t xml:space="preserve">，</w:t>
      </w:r>
      <w:r>
        <w:rPr>
          <w:rFonts w:hAnsi="宋体"/>
          <w:sz w:val="24"/>
        </w:rPr>
        <w:t xml:space="preserve">至公交站点的距离约为100米，公交班次平均隔10分钟有一辆汽车通过。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估价对象所在区域居民受教育程度一般；治安状况较优；人文环境一般。</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永辉超市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苏州农商银行、华夏银行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安心菜场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苏州湾实验小学</w:t>
      </w:r>
      <w:r>
        <w:rPr>
          <w:rFonts w:hint="eastAsia" w:ascii="宋体" w:hAnsi="宋体" w:eastAsia="宋体" w:asciiTheme="minorEastAsia" w:hAnsiTheme="minorEastAsia" w:eastAsiaTheme="minorEastAsia"/>
          <w:sz w:val="24"/>
        </w:rPr>
        <w:t xml:space="preserve">、</w:t>
      </w:r>
      <w:r>
        <w:rPr>
          <w:rFonts w:hAnsi="宋体"/>
          <w:sz w:val="24"/>
        </w:rPr>
        <w:t xml:space="preserve">苏州湾实验中学</w:t>
      </w:r>
      <w:r>
        <w:rPr>
          <w:rFonts w:hint="eastAsia" w:hAnsi="宋体"/>
          <w:sz w:val="24"/>
        </w:rPr>
        <w:t xml:space="preserve">、</w:t>
      </w:r>
      <w:r>
        <w:rPr>
          <w:rFonts w:hAnsi="宋体"/>
          <w:sz w:val="24"/>
        </w:rPr>
        <w:t xml:space="preserve">吴江中学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2085年11月29日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秋枫街</w:t>
      </w:r>
      <w:r>
        <w:rPr>
          <w:rFonts w:hint="eastAsia" w:ascii="宋体" w:hAnsi="宋体"/>
          <w:sz w:val="24"/>
        </w:rPr>
        <w:t xml:space="preserve">，南至</w:t>
      </w:r>
      <w:r>
        <w:rPr>
          <w:rFonts w:ascii="宋体" w:hAnsi="宋体"/>
          <w:sz w:val="24"/>
        </w:rPr>
        <w:t xml:space="preserve">四欣路</w:t>
      </w:r>
      <w:r>
        <w:rPr>
          <w:rFonts w:hint="eastAsia" w:ascii="宋体" w:hAnsi="宋体"/>
          <w:sz w:val="24"/>
        </w:rPr>
        <w:t xml:space="preserve">，西至</w:t>
      </w:r>
      <w:r>
        <w:rPr>
          <w:rFonts w:ascii="宋体" w:hAnsi="宋体"/>
          <w:sz w:val="24"/>
        </w:rPr>
        <w:t xml:space="preserve">夏蓉街</w:t>
      </w:r>
      <w:r>
        <w:rPr>
          <w:rFonts w:hint="eastAsia" w:ascii="宋体" w:hAnsi="宋体"/>
          <w:sz w:val="24"/>
        </w:rPr>
        <w:t xml:space="preserve">，北至</w:t>
      </w:r>
      <w:r>
        <w:rPr>
          <w:rFonts w:ascii="宋体" w:hAnsi="宋体"/>
          <w:sz w:val="24"/>
        </w:rPr>
        <w:t xml:space="preserve">高新路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估价对象为坐落于苏州市吴江区风华上品花园</w:t>
      </w:r>
      <w:r>
        <w:t xml:space="preserve"> </w:t>
      </w:r>
      <w:r>
        <w:rPr>
          <w:rFonts w:ascii="宋体" w:hAnsi="宋体"/>
          <w:kern w:val="2"/>
          <w:sz w:val="24"/>
        </w:rPr>
        <w:t xml:space="preserve">17幢102室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估价对象为高层建筑，建筑面积为</w:t>
      </w:r>
      <w:r>
        <w:rPr>
          <w:rFonts w:hAnsi="宋体"/>
          <w:sz w:val="24"/>
        </w:rPr>
        <w:t xml:space="preserve">94.83</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3层数、层高：估价对象位于总楼层为33层的第1层，层高约2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半封闭式物业管理，设有小区门卫，无保安巡逻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估价对象建成于2016年，基础较为稳固，未见沉降；墙面、地面、门窗等保养完好，综合保养成新度为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2024年第二季度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风华上品花园住宅2024年4月挂牌均价24742元/平方米，较年初持平。待评估二手房住宅近8个月（2023年09月-2024年04月）挂牌均价波动幅度较小，价格维持在24742-26663元/平方米之间。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苏州市吴江区风华上品花园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F32050920230032223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F32050920230042396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s202310060010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s202310200001</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吴江区松陵镇风华上品花园17幢102室高层住宅标准房基准价格评估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奥林清华西区91幢904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奥林清华东区86幢302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凯旋名邸13幢304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伟业迎春华府21幢501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94.83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120.92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228.46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123.61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87.38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9/29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3/32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3/35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5/18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2024年04月16日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16081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15582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15800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16022</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指数，吴江区2023年04月至2024年03月住宅月度价格指数表为：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2023年07月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2024年03月16日</w:t>
            </w:r>
          </w:p>
        </w:tc>
        <w:tc>
          <w:tcPr>
            <w:tcW w:w="778" w:type="pct"/>
            <w:shd w:val="clear" w:color="auto" w:fill="FFFFFF"/>
            <w:vAlign w:val="center"/>
          </w:tcPr>
          <w:p>
            <w:pPr>
              <w:jc w:val="center"/>
            </w:pPr>
            <w:r>
              <w:rPr>
                <w:rFonts w:hint="eastAsia" w:ascii="宋体" w:hAnsi="宋体" w:cs="宋体"/>
              </w:rPr>
              <w:t xml:space="preserve">2023年09月</w:t>
            </w:r>
          </w:p>
        </w:tc>
        <w:tc>
          <w:tcPr>
            <w:tcW w:w="779" w:type="pct"/>
            <w:shd w:val="clear" w:color="auto" w:fill="FFFFFF"/>
            <w:vAlign w:val="center"/>
          </w:tcPr>
          <w:p>
            <w:pPr>
              <w:jc w:val="center"/>
            </w:pPr>
            <w:r>
              <w:rPr>
                <w:rFonts w:hint="eastAsia" w:ascii="宋体" w:hAnsi="宋体" w:cs="宋体"/>
              </w:rPr>
              <w:t xml:space="preserve">2023年11月</w:t>
            </w:r>
          </w:p>
        </w:tc>
        <w:tc>
          <w:tcPr>
            <w:tcW w:w="779" w:type="pct"/>
            <w:shd w:val="clear" w:color="auto" w:fill="FFFFFF"/>
            <w:vAlign w:val="center"/>
          </w:tcPr>
          <w:p>
            <w:pPr>
              <w:jc w:val="center"/>
            </w:pPr>
            <w:r>
              <w:rPr>
                <w:rFonts w:hint="eastAsia" w:ascii="宋体" w:hAnsi="宋体" w:cs="宋体"/>
              </w:rPr>
              <w:t xml:space="preserve">2023年11月</w:t>
            </w:r>
          </w:p>
        </w:tc>
        <w:tc>
          <w:tcPr>
            <w:tcW w:w="779" w:type="pct"/>
            <w:shd w:val="clear" w:color="auto" w:fill="FFFFFF"/>
            <w:vAlign w:val="center"/>
          </w:tcPr>
          <w:p>
            <w:pPr>
              <w:jc w:val="center"/>
            </w:pPr>
            <w:r>
              <w:rPr>
                <w:rFonts w:hint="eastAsia" w:ascii="宋体" w:hAnsi="宋体" w:cs="宋体"/>
              </w:rPr>
              <w:t xml:space="preserve">2023年10月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16081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15582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15800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16022</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1971</w:t>
            </w:r>
          </w:p>
        </w:tc>
        <w:tc>
          <w:tcPr>
            <w:tcW w:w="778"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1971/1971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0.963</w:t>
            </w:r>
          </w:p>
        </w:tc>
        <w:tc>
          <w:tcPr>
            <w:tcW w:w="779" w:type="pct"/>
            <w:shd w:val="clear" w:color="auto" w:fill="FFFFFF"/>
            <w:vAlign w:val="center"/>
          </w:tcPr>
          <w:p>
            <w:pPr>
              <w:jc w:val="center"/>
            </w:pPr>
            <w:r>
              <w:rPr>
                <w:rFonts w:hint="eastAsia" w:ascii="宋体" w:hAnsi="宋体" w:cs="宋体"/>
              </w:rPr>
              <w:t xml:space="preserve">0.963</w:t>
            </w:r>
          </w:p>
        </w:tc>
        <w:tc>
          <w:tcPr>
            <w:tcW w:w="779" w:type="pct"/>
            <w:shd w:val="clear" w:color="auto" w:fill="FFFFFF"/>
            <w:vAlign w:val="center"/>
          </w:tcPr>
          <w:p>
            <w:pPr>
              <w:jc w:val="center"/>
            </w:pPr>
            <w:r>
              <w:rPr>
                <w:rFonts w:hint="eastAsia" w:ascii="宋体" w:hAnsi="宋体" w:cs="宋体"/>
              </w:rPr>
              <w:t xml:space="preserve">0.963</w:t>
            </w:r>
          </w:p>
        </w:tc>
        <w:tc>
          <w:tcPr>
            <w:tcW w:w="779" w:type="pct"/>
            <w:shd w:val="clear" w:color="auto" w:fill="FFFFFF"/>
            <w:vAlign w:val="center"/>
          </w:tcPr>
          <w:p>
            <w:pPr>
              <w:jc w:val="center"/>
            </w:pPr>
            <w:r>
              <w:rPr>
                <w:rFonts w:hint="eastAsia" w:ascii="宋体" w:hAnsi="宋体" w:cs="宋体"/>
              </w:rPr>
              <w:t xml:space="preserve">0.963</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备注：在价值时点2024年04月16日</w:t>
      </w:r>
      <w:r>
        <w:rPr>
          <w:rFonts w:hint="eastAsia" w:ascii="宋体" w:hAnsi="宋体" w:cs="宋体"/>
          <w:sz w:val="24"/>
          <w:szCs w:val="24"/>
        </w:rPr>
        <w:t xml:space="preserve">，2024年04月份价格指数尚未公布，本次估价采用2024年03月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5"/>
      <w:bookmarkStart w:name="_Toc352325665" w:id="16"/>
      <w:r>
        <w:rPr>
          <w:rFonts w:hint="eastAsia" w:ascii="宋体" w:hAnsi="宋体" w:cs="宋体"/>
          <w:b/>
          <w:sz w:val="21"/>
          <w:szCs w:val="21"/>
        </w:rPr>
        <w:t xml:space="preserve">（1）住宅房屋层次因素系数表</w:t>
      </w:r>
      <w:bookmarkEnd w:id="15"/>
      <w:bookmarkEnd w:id="16"/>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7"/>
      <w:bookmarkStart w:name="_Toc352325666" w:id="18"/>
      <w:r>
        <w:rPr>
          <w:rFonts w:hint="eastAsia" w:ascii="宋体" w:hAnsi="宋体" w:cs="宋体"/>
          <w:b/>
          <w:sz w:val="21"/>
          <w:szCs w:val="21"/>
        </w:rPr>
        <w:t xml:space="preserve">（2）住宅结构因素修正系数表</w:t>
      </w:r>
      <w:bookmarkEnd w:id="17"/>
      <w:bookmarkEnd w:id="18"/>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9"/>
            <w:bookmarkStart w:name="_Toc351596837" w:id="20"/>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9"/>
      <w:bookmarkEnd w:id="20"/>
    </w:p>
    <w:p>
      <w:pPr>
        <w:rPr>
          <w:vanish/>
          <w:sz w:val="21"/>
          <w:szCs w:val="21"/>
        </w:rPr>
      </w:pPr>
      <w:bookmarkStart w:name="_Toc351596838" w:id="21"/>
      <w:bookmarkStart w:name="_Toc352325668" w:id="22"/>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1"/>
      <w:bookmarkEnd w:id="22"/>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3"/>
            <w:bookmarkStart w:name="_Toc352325669" w:id="24"/>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1114502945"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3"/>
      <w:bookmarkEnd w:id="24"/>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吴江区松陵镇风华上品花园17幢102室高层住宅标准房基准价格评估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奥林清华西区91幢904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奥林清华东区86幢302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凯旋名邸13幢304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伟业迎春华府21幢501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94.83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120.92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228.46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123.61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87.38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0.9812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0.9496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0.9679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0.9582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0.9537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16081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15582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16022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15271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15082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15140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15280</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16081</w:t>
            </w:r>
          </w:p>
        </w:tc>
        <w:tc>
          <w:tcPr>
            <w:tcW w:w="922" w:type="pct"/>
            <w:shd w:val="clear" w:color="auto" w:fill="auto"/>
            <w:vAlign w:val="center"/>
          </w:tcPr>
          <w:p>
            <w:pPr>
              <w:jc w:val="center"/>
              <w:rPr>
                <w:rFonts w:ascii="宋体" w:hAnsi="宋体" w:cs="宋体"/>
              </w:rPr>
            </w:pPr>
            <w:r>
              <w:rPr>
                <w:rFonts w:hint="eastAsia" w:ascii="宋体" w:hAnsi="宋体" w:cs="宋体"/>
              </w:rPr>
              <w:t xml:space="preserve">15582</w:t>
            </w:r>
          </w:p>
        </w:tc>
        <w:tc>
          <w:tcPr>
            <w:tcW w:w="922" w:type="pct"/>
            <w:shd w:val="clear" w:color="auto" w:fill="auto"/>
            <w:vAlign w:val="center"/>
          </w:tcPr>
          <w:p>
            <w:pPr>
              <w:jc w:val="center"/>
              <w:rPr>
                <w:rFonts w:ascii="宋体" w:hAnsi="宋体" w:cs="宋体"/>
              </w:rPr>
            </w:pPr>
            <w:r>
              <w:rPr>
                <w:rFonts w:hint="eastAsia" w:ascii="宋体" w:hAnsi="宋体" w:cs="宋体"/>
              </w:rPr>
              <w:t xml:space="preserve">15800</w:t>
            </w:r>
          </w:p>
        </w:tc>
        <w:tc>
          <w:tcPr>
            <w:tcW w:w="922" w:type="pct"/>
            <w:shd w:val="clear" w:color="auto" w:fill="auto"/>
            <w:vAlign w:val="center"/>
          </w:tcPr>
          <w:p>
            <w:pPr>
              <w:jc w:val="center"/>
              <w:rPr>
                <w:rFonts w:ascii="宋体" w:hAnsi="宋体" w:cs="宋体"/>
              </w:rPr>
            </w:pPr>
            <w:r>
              <w:rPr>
                <w:rFonts w:hint="eastAsia" w:ascii="宋体" w:hAnsi="宋体" w:cs="宋体"/>
              </w:rPr>
              <w:t xml:space="preserve">16022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109.08/111.17</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109.08/109.07</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109.08/110.17</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109.08/111.26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100.5/99.5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0.9496</w:t>
            </w:r>
          </w:p>
        </w:tc>
        <w:tc>
          <w:tcPr>
            <w:tcW w:w="922" w:type="pct"/>
            <w:shd w:val="clear" w:color="auto" w:fill="auto"/>
            <w:vAlign w:val="center"/>
          </w:tcPr>
          <w:p>
            <w:pPr>
              <w:jc w:val="center"/>
              <w:rPr>
                <w:rFonts w:ascii="宋体" w:hAnsi="宋体" w:cs="宋体"/>
              </w:rPr>
            </w:pPr>
            <w:r>
              <w:rPr>
                <w:rFonts w:hint="eastAsia" w:ascii="宋体" w:hAnsi="宋体" w:cs="宋体"/>
              </w:rPr>
              <w:t xml:space="preserve">0.9679</w:t>
            </w:r>
          </w:p>
        </w:tc>
        <w:tc>
          <w:tcPr>
            <w:tcW w:w="922" w:type="pct"/>
            <w:shd w:val="clear" w:color="auto" w:fill="auto"/>
            <w:vAlign w:val="center"/>
          </w:tcPr>
          <w:p>
            <w:pPr>
              <w:jc w:val="center"/>
              <w:rPr>
                <w:rFonts w:ascii="宋体" w:hAnsi="宋体" w:cs="宋体"/>
              </w:rPr>
            </w:pPr>
            <w:r>
              <w:rPr>
                <w:rFonts w:hint="eastAsia" w:ascii="宋体" w:hAnsi="宋体" w:cs="宋体"/>
              </w:rPr>
              <w:t xml:space="preserve">0.9582</w:t>
            </w:r>
          </w:p>
        </w:tc>
        <w:tc>
          <w:tcPr>
            <w:tcW w:w="922" w:type="pct"/>
            <w:shd w:val="clear" w:color="auto" w:fill="auto"/>
            <w:vAlign w:val="center"/>
          </w:tcPr>
          <w:p>
            <w:pPr>
              <w:jc w:val="center"/>
              <w:rPr>
                <w:rFonts w:ascii="宋体" w:hAnsi="宋体" w:cs="宋体"/>
              </w:rPr>
            </w:pPr>
            <w:r>
              <w:rPr>
                <w:rFonts w:hint="eastAsia" w:ascii="宋体" w:hAnsi="宋体" w:cs="宋体"/>
              </w:rPr>
              <w:t xml:space="preserve">0.9537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15271</w:t>
            </w:r>
          </w:p>
        </w:tc>
        <w:tc>
          <w:tcPr>
            <w:tcW w:w="922" w:type="pct"/>
            <w:shd w:val="clear" w:color="auto" w:fill="auto"/>
            <w:vAlign w:val="center"/>
          </w:tcPr>
          <w:p>
            <w:pPr>
              <w:jc w:val="center"/>
              <w:rPr>
                <w:rFonts w:ascii="宋体" w:hAnsi="宋体" w:cs="宋体"/>
              </w:rPr>
            </w:pPr>
            <w:r>
              <w:rPr>
                <w:rFonts w:hint="eastAsia" w:ascii="宋体" w:hAnsi="宋体" w:cs="宋体"/>
              </w:rPr>
              <w:t xml:space="preserve">15082</w:t>
            </w:r>
          </w:p>
        </w:tc>
        <w:tc>
          <w:tcPr>
            <w:tcW w:w="922" w:type="pct"/>
            <w:shd w:val="clear" w:color="auto" w:fill="auto"/>
            <w:vAlign w:val="center"/>
          </w:tcPr>
          <w:p>
            <w:pPr>
              <w:jc w:val="center"/>
              <w:rPr>
                <w:rFonts w:ascii="宋体" w:hAnsi="宋体" w:cs="宋体"/>
              </w:rPr>
            </w:pPr>
            <w:r>
              <w:rPr>
                <w:rFonts w:hint="eastAsia" w:ascii="宋体" w:hAnsi="宋体" w:cs="宋体"/>
              </w:rPr>
              <w:t xml:space="preserve">15140</w:t>
            </w:r>
          </w:p>
        </w:tc>
        <w:tc>
          <w:tcPr>
            <w:tcW w:w="922" w:type="pct"/>
            <w:shd w:val="clear" w:color="auto" w:fill="auto"/>
            <w:vAlign w:val="center"/>
          </w:tcPr>
          <w:p>
            <w:pPr>
              <w:jc w:val="center"/>
              <w:rPr>
                <w:rFonts w:ascii="宋体" w:hAnsi="宋体" w:cs="宋体"/>
              </w:rPr>
            </w:pPr>
            <w:r>
              <w:rPr>
                <w:rFonts w:hint="eastAsia" w:ascii="宋体" w:hAnsi="宋体" w:cs="宋体"/>
              </w:rPr>
              <w:t xml:space="preserve">15280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15271</w:t>
            </w:r>
          </w:p>
        </w:tc>
        <w:tc>
          <w:tcPr>
            <w:tcW w:w="922" w:type="pct"/>
            <w:shd w:val="clear" w:color="auto" w:fill="auto"/>
            <w:vAlign w:val="center"/>
          </w:tcPr>
          <w:p>
            <w:pPr>
              <w:jc w:val="center"/>
              <w:rPr>
                <w:rFonts w:ascii="宋体" w:hAnsi="宋体" w:cs="宋体"/>
              </w:rPr>
            </w:pPr>
            <w:r>
              <w:rPr>
                <w:rFonts w:hint="eastAsia" w:ascii="宋体" w:hAnsi="宋体" w:cs="宋体"/>
              </w:rPr>
              <w:t xml:space="preserve">15082</w:t>
            </w:r>
          </w:p>
        </w:tc>
        <w:tc>
          <w:tcPr>
            <w:tcW w:w="922" w:type="pct"/>
            <w:shd w:val="clear" w:color="auto" w:fill="auto"/>
            <w:vAlign w:val="center"/>
          </w:tcPr>
          <w:p>
            <w:pPr>
              <w:jc w:val="center"/>
              <w:rPr>
                <w:rFonts w:ascii="宋体" w:hAnsi="宋体" w:cs="宋体"/>
              </w:rPr>
            </w:pPr>
            <w:r>
              <w:rPr>
                <w:rFonts w:hint="eastAsia" w:ascii="宋体" w:hAnsi="宋体" w:cs="宋体"/>
              </w:rPr>
              <w:t xml:space="preserve">15140</w:t>
            </w:r>
          </w:p>
        </w:tc>
        <w:tc>
          <w:tcPr>
            <w:tcW w:w="922" w:type="pct"/>
            <w:shd w:val="clear" w:color="auto" w:fill="auto"/>
            <w:vAlign w:val="center"/>
          </w:tcPr>
          <w:p>
            <w:pPr>
              <w:jc w:val="center"/>
              <w:rPr>
                <w:rFonts w:ascii="宋体" w:hAnsi="宋体" w:cs="宋体"/>
              </w:rPr>
            </w:pPr>
            <w:r>
              <w:rPr>
                <w:rFonts w:hint="eastAsia" w:ascii="宋体" w:hAnsi="宋体" w:cs="宋体"/>
              </w:rPr>
              <w:t xml:space="preserve">15280</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15193</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5"/>
      <w:bookmarkStart w:name="_Toc32222395" w:id="26"/>
      <w:r>
        <w:rPr>
          <w:rFonts w:hint="eastAsia" w:ascii="黑体" w:eastAsia="黑体"/>
          <w:sz w:val="48"/>
        </w:rPr>
        <w:t xml:space="preserve">附    件</w:t>
      </w:r>
      <w:bookmarkEnd w:id="25"/>
      <w:bookmarkEnd w:id="26"/>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bookmarkStart w:name="_GoBack" w:id="27"/>
      <w:bookmarkEnd w:id="27"/>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F32050920230032223</w:t>
            </w:r>
          </w:p>
        </w:tc>
        <w:tc>
          <w:tcPr>
            <w:tcW w:w="1842" w:type="dxa"/>
            <w:vAlign w:val="center"/>
          </w:tcPr>
          <w:p>
            <w:pPr>
              <w:jc w:val="center"/>
            </w:pPr>
            <w:r>
              <w:rPr>
                <w:rFonts w:hint="eastAsia" w:ascii="宋体" w:hAnsi="宋体" w:cs="宋体"/>
              </w:rPr>
              <w:t xml:space="preserve">F32050920230042396</w:t>
            </w:r>
          </w:p>
        </w:tc>
        <w:tc>
          <w:tcPr>
            <w:tcW w:w="1843" w:type="dxa"/>
            <w:vAlign w:val="center"/>
          </w:tcPr>
          <w:p>
            <w:pPr>
              <w:jc w:val="center"/>
            </w:pPr>
            <w:r>
              <w:rPr>
                <w:rFonts w:hint="eastAsia" w:ascii="宋体" w:hAnsi="宋体" w:cs="宋体"/>
              </w:rPr>
              <w:t xml:space="preserve">s202310060010</w:t>
            </w:r>
          </w:p>
        </w:tc>
        <w:tc>
          <w:tcPr>
            <w:tcW w:w="1985" w:type="dxa"/>
            <w:vAlign w:val="center"/>
          </w:tcPr>
          <w:p>
            <w:pPr>
              <w:jc w:val="center"/>
            </w:pPr>
            <w:r>
              <w:rPr>
                <w:rFonts w:hint="eastAsia" w:ascii="宋体" w:hAnsi="宋体" w:cs="宋体"/>
              </w:rPr>
              <w:t xml:space="preserve">s202310200001</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奥林清华西区91幢904</w:t>
            </w:r>
          </w:p>
        </w:tc>
        <w:tc>
          <w:tcPr>
            <w:tcW w:w="1842" w:type="dxa"/>
            <w:vAlign w:val="center"/>
          </w:tcPr>
          <w:p>
            <w:pPr>
              <w:jc w:val="center"/>
            </w:pPr>
            <w:r>
              <w:rPr>
                <w:rFonts w:hint="eastAsia" w:ascii="宋体" w:hAnsi="宋体" w:cs="宋体"/>
              </w:rPr>
              <w:t xml:space="preserve">奥林清华东区86幢302</w:t>
            </w:r>
          </w:p>
        </w:tc>
        <w:tc>
          <w:tcPr>
            <w:tcW w:w="1843" w:type="dxa"/>
            <w:vAlign w:val="center"/>
          </w:tcPr>
          <w:p>
            <w:pPr>
              <w:jc w:val="center"/>
            </w:pPr>
            <w:r>
              <w:rPr>
                <w:rFonts w:hint="eastAsia" w:ascii="宋体" w:hAnsi="宋体" w:cs="宋体"/>
              </w:rPr>
              <w:t xml:space="preserve">凯旋名邸13幢304</w:t>
            </w:r>
          </w:p>
        </w:tc>
        <w:tc>
          <w:tcPr>
            <w:tcW w:w="1985" w:type="dxa"/>
            <w:vAlign w:val="center"/>
          </w:tcPr>
          <w:p>
            <w:pPr>
              <w:jc w:val="center"/>
            </w:pPr>
            <w:r>
              <w:rPr>
                <w:rFonts w:hint="eastAsia" w:ascii="宋体" w:hAnsi="宋体" w:cs="宋体"/>
              </w:rPr>
              <w:t xml:space="preserve">伟业迎春华府21幢501</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奥林清华西区91幢904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奥林清华东区86幢302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凯旋名邸13幢304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伟业迎春华府21幢501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png" /><Relationship Id="rId23" Type="http://schemas.openxmlformats.org/officeDocument/2006/relationships/image" Target="media/image19.jpeg" /><Relationship Id="rId24" Type="http://schemas.openxmlformats.org/officeDocument/2006/relationships/image" Target="media/image20.pn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WWO_base_provider_20221031101348-1857be321c</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2020-03-31T18:20:00Z</cp:lastPrinted>
  <dcterms:created xsi:type="dcterms:W3CDTF">2023-05-06T17:44:00Z</dcterms:created>
  <dcterms:modified xsi:type="dcterms:W3CDTF">2024-04-28T10:05:15Z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