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苏吴地评税字(2024)吴江第00727号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苏州市吴江区横扇镇</w:t>
      </w:r>
      <w:r>
        <w:rPr>
          <w:rFonts w:ascii="宋体" w:hAnsi="宋体" w:eastAsia="宋体" w:asciiTheme="minorEastAsia" w:hAnsiTheme="minorEastAsia" w:eastAsiaTheme="minorEastAsia"/>
          <w:sz w:val="24"/>
          <w:szCs w:val="24"/>
        </w:rPr>
        <w:t xml:space="preserve">春天花园双拼</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估价对象位于苏州市吴江区区域范围内的春天花园住宅小区双拼存量房。该小区内的物业类型包括：</w:t>
      </w:r>
      <w:r>
        <w:rPr>
          <w:rFonts w:ascii="宋体"/>
          <w:sz w:val="24"/>
        </w:rPr>
        <w:t xml:space="preserve">普通多层、独栋、双拼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月修订版），结合估价人员现场查勘，选取春天花园</w:t>
      </w:r>
      <w:r>
        <w:rPr>
          <w:rFonts w:ascii="宋体"/>
          <w:sz w:val="24"/>
        </w:rPr>
        <w:t xml:space="preserve">6幢102室</w:t>
      </w:r>
      <w:r>
        <w:rPr>
          <w:rFonts w:hint="eastAsia" w:ascii="宋体"/>
          <w:sz w:val="24"/>
        </w:rPr>
        <w:t xml:space="preserve">为该小区</w:t>
      </w:r>
      <w:r>
        <w:rPr>
          <w:rFonts w:ascii="宋体"/>
          <w:sz w:val="24"/>
        </w:rPr>
        <w:t xml:space="preserve">钢混结构</w:t>
      </w:r>
      <w:r>
        <w:rPr>
          <w:rFonts w:hint="eastAsia" w:ascii="宋体"/>
          <w:sz w:val="24"/>
        </w:rPr>
        <w:t xml:space="preserve">双拼的标准样本房，所在楼层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218.62</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2073年08月07日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2024年05月13日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捌仟零陆元整</w:t>
      </w:r>
      <w:r>
        <w:rPr>
          <w:rFonts w:hint="eastAsia" w:ascii="宋体" w:hAnsi="宋体"/>
          <w:b/>
          <w:bCs/>
          <w:sz w:val="24"/>
        </w:rPr>
        <w:t xml:space="preserve">（RMB</w:t>
      </w:r>
      <w:r>
        <w:rPr>
          <w:rFonts w:ascii="宋体" w:hAnsi="宋体"/>
          <w:b/>
          <w:bCs/>
          <w:sz w:val="24"/>
        </w:rPr>
        <w:t xml:space="preserve"> 8006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5.本报告作为整体使用时有效。若房地产市场无重大波动，本估价报告自出具日起一年内有效，从2024年05月20日至</w:t>
      </w:r>
      <w:r>
        <w:rPr>
          <w:rFonts w:ascii="宋体" w:hAnsi="宋体"/>
          <w:sz w:val="24"/>
        </w:rPr>
        <w:t xml:space="preserve">2025年05月19日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估价对象为春天花园</w:t>
      </w:r>
      <w:r>
        <w:rPr>
          <w:rFonts w:ascii="宋体" w:hAnsi="宋体"/>
          <w:sz w:val="24"/>
        </w:rPr>
        <w:t xml:space="preserve">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跃进路西侧</w:t>
      </w:r>
      <w:r>
        <w:rPr>
          <w:rFonts w:hint="eastAsia" w:hAnsi="宋体"/>
          <w:sz w:val="24"/>
        </w:rPr>
        <w:t xml:space="preserve">的“春天花园”住宅区内。</w:t>
      </w:r>
      <w:r>
        <w:rPr>
          <w:rFonts w:hint="eastAsia" w:ascii="宋体" w:hAnsi="宋体"/>
          <w:sz w:val="24"/>
        </w:rPr>
        <w:t xml:space="preserve">估价对象东至</w:t>
      </w:r>
      <w:r>
        <w:rPr>
          <w:rFonts w:ascii="宋体" w:hAnsi="宋体"/>
          <w:sz w:val="24"/>
          <w:szCs w:val="24"/>
        </w:rPr>
        <w:t xml:space="preserve">跃进路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御景豪庭</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厂区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南举路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218.62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跃进路西侧</w:t>
      </w:r>
      <w:r>
        <w:rPr>
          <w:rFonts w:hint="eastAsia" w:hAnsi="宋体"/>
          <w:sz w:val="24"/>
        </w:rPr>
        <w:t xml:space="preserve">的“春天花园”住宅区内。该小区内的物业类型包括：</w:t>
      </w:r>
      <w:r>
        <w:rPr>
          <w:rFonts w:hAnsi="宋体"/>
          <w:sz w:val="24"/>
        </w:rPr>
        <w:t xml:space="preserve">普通多层、独栋、双拼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春天花园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“春天花园”小区</w:t>
            </w:r>
            <w:r>
              <w:rPr>
                <w:rFonts w:ascii="Cambria" w:hAnsi="宋体" w:eastAsia="黑体" w:cs="Times New Roman" w:asciiTheme="majorHAnsi" w:cstheme="majorBidi"/>
                <w:sz w:val="15"/>
                <w:szCs w:val="15"/>
              </w:rPr>
              <w:t xml:space="preserve">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由于春天花园市场交易不活跃，片区内可选案例较少，因此选择的案例A，B，C，D，距离在3公里以外。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春天花园住宅2024年5月挂牌均价12400元/平方米，较年初持平。待评估二手房住宅近20个月（2022年10月-2024年05月）挂牌均价波动幅度较小，价格维持在12400-13900元/平方米之间。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均价说明：春天花园小区物业类型包括：普通多层、独栋、双拼,房源均价为:12400元/平方米，包含毛坯价值以及附带装修价值。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218.62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2073年08月07日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2024年05月13日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捌仟零陆元整</w:t>
      </w:r>
      <w:r>
        <w:rPr>
          <w:rFonts w:hint="eastAsia" w:ascii="宋体" w:hAnsi="宋体"/>
          <w:b/>
          <w:bCs/>
          <w:sz w:val="24"/>
        </w:rPr>
        <w:t xml:space="preserve">（RMB </w:t>
      </w:r>
      <w:r>
        <w:rPr>
          <w:rFonts w:ascii="宋体" w:hAnsi="宋体"/>
          <w:b/>
          <w:bCs/>
          <w:sz w:val="24"/>
        </w:rPr>
        <w:t xml:space="preserve">8006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175.03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8006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本次实地查勘期为2024年05月13日，并于当日完成现场查勘。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2024年05月13日</w:t>
      </w:r>
      <w:r>
        <w:rPr>
          <w:rFonts w:hint="eastAsia" w:ascii="宋体"/>
          <w:sz w:val="24"/>
        </w:rPr>
        <w:t xml:space="preserve">至2024年05月20日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估价对象为苏州市吴江区“春天花园”住宅区内的</w:t>
      </w:r>
      <w:r>
        <w:rPr>
          <w:rFonts w:hAnsi="宋体"/>
          <w:sz w:val="24"/>
        </w:rPr>
        <w:t xml:space="preserve">双拼</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位于厂区东侧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厂区东侧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附近有738路、740路、743路等多条公交线路</w:t>
      </w:r>
      <w:r>
        <w:rPr>
          <w:rFonts w:hint="eastAsia" w:hAnsi="宋体"/>
          <w:sz w:val="24"/>
        </w:rPr>
        <w:t xml:space="preserve">，</w:t>
      </w:r>
      <w:r>
        <w:rPr>
          <w:rFonts w:hAnsi="宋体"/>
          <w:sz w:val="24"/>
        </w:rPr>
        <w:t xml:space="preserve">至公交站点的距离约为450米，公交班次平均隔10分钟有一辆汽车通过。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联华超市(南举路)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中国工商银行(吴江横扇支行)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横扇镇农贸市场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横扇蓝天幼儿园</w:t>
      </w:r>
      <w:r>
        <w:rPr>
          <w:rFonts w:hint="eastAsia" w:ascii="宋体" w:hAnsi="宋体" w:eastAsia="宋体" w:asciiTheme="minorEastAsia" w:hAnsiTheme="minorEastAsia" w:eastAsiaTheme="minorEastAsia"/>
          <w:sz w:val="24"/>
        </w:rPr>
        <w:t xml:space="preserve">、</w:t>
      </w:r>
      <w:r>
        <w:rPr>
          <w:rFonts w:hAnsi="宋体"/>
          <w:sz w:val="24"/>
        </w:rPr>
        <w:t xml:space="preserve">横扇镇中心小学</w:t>
      </w:r>
      <w:r>
        <w:rPr>
          <w:rFonts w:hint="eastAsia" w:hAnsi="宋体"/>
          <w:sz w:val="24"/>
        </w:rPr>
        <w:t xml:space="preserve">、</w:t>
      </w:r>
      <w:r>
        <w:rPr>
          <w:rFonts w:hAnsi="宋体"/>
          <w:sz w:val="24"/>
        </w:rPr>
        <w:t xml:space="preserve">吴江区横扇中学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2073年08月07日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跃进路</w:t>
      </w:r>
      <w:r>
        <w:rPr>
          <w:rFonts w:hint="eastAsia" w:ascii="宋体" w:hAnsi="宋体"/>
          <w:sz w:val="24"/>
        </w:rPr>
        <w:t xml:space="preserve">，南至</w:t>
      </w:r>
      <w:r>
        <w:rPr>
          <w:rFonts w:ascii="宋体" w:hAnsi="宋体"/>
          <w:sz w:val="24"/>
        </w:rPr>
        <w:t xml:space="preserve">御景豪庭</w:t>
      </w:r>
      <w:r>
        <w:rPr>
          <w:rFonts w:hint="eastAsia" w:ascii="宋体" w:hAnsi="宋体"/>
          <w:sz w:val="24"/>
        </w:rPr>
        <w:t xml:space="preserve">，西至</w:t>
      </w:r>
      <w:r>
        <w:rPr>
          <w:rFonts w:ascii="宋体" w:hAnsi="宋体"/>
          <w:sz w:val="24"/>
        </w:rPr>
        <w:t xml:space="preserve">厂区</w:t>
      </w:r>
      <w:r>
        <w:rPr>
          <w:rFonts w:hint="eastAsia" w:ascii="宋体" w:hAnsi="宋体"/>
          <w:sz w:val="24"/>
        </w:rPr>
        <w:t xml:space="preserve">，北至</w:t>
      </w:r>
      <w:r>
        <w:rPr>
          <w:rFonts w:ascii="宋体" w:hAnsi="宋体"/>
          <w:sz w:val="24"/>
        </w:rPr>
        <w:t xml:space="preserve">南举路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估价对象为坐落于苏州市吴江区春天花园</w:t>
      </w:r>
      <w:r>
        <w:t xml:space="preserve"> </w:t>
      </w:r>
      <w:r>
        <w:rPr>
          <w:rFonts w:ascii="宋体" w:hAnsi="宋体"/>
          <w:kern w:val="2"/>
          <w:sz w:val="24"/>
        </w:rPr>
        <w:t xml:space="preserve">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估价对象为双拼建筑，建筑面积为</w:t>
      </w:r>
      <w:r>
        <w:rPr>
          <w:rFonts w:hAnsi="宋体"/>
          <w:sz w:val="24"/>
        </w:rPr>
        <w:t xml:space="preserve">218.62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春天花园住宅2024年5月挂牌均价12400元/平方米，较年初持平。待评估二手房住宅近20个月（2022年10月-2024年05月）挂牌均价波动幅度较小，价格维持在12400-13900元/平方米之间。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苏州市吴江区春天花园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F32050920220047389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s202301110122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s202308030055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s202308100008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吴江区横扇镇春天花园6幢102室双拼住宅标准房基准价格评估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太湖怡景花园16幢102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太阳岛花苑26幢101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书香苑14幢02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御湖庄园7幢101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218.62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336.86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293.28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282.93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428.94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2024年05月13日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7955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8353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9792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指数，吴江区2023年05月至2024年04月住宅月度价格指数表为：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2024年04月13日</w:t>
            </w:r>
          </w:p>
        </w:tc>
        <w:tc>
          <w:tcPr>
            <w:tcW w:w="778" w:type="pct"/>
            <w:shd w:val="clear" w:color="auto" w:fill="FFFFFF"/>
            <w:vAlign w:val="center"/>
          </w:tcPr>
          <w:p>
            <w:pPr>
              <w:jc w:val="center"/>
            </w:pPr>
            <w:r>
              <w:rPr>
                <w:rFonts w:hint="eastAsia" w:ascii="宋体" w:hAnsi="宋体" w:cs="宋体"/>
              </w:rPr>
              <w:t xml:space="preserve">2022年10月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2023年08月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7955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8353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9792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1948</w:t>
            </w:r>
          </w:p>
        </w:tc>
        <w:tc>
          <w:tcPr>
            <w:tcW w:w="778" w:type="pct"/>
            <w:shd w:val="clear" w:color="auto" w:fill="FFFFFF"/>
            <w:vAlign w:val="center"/>
          </w:tcPr>
          <w:p>
            <w:pPr>
              <w:jc w:val="center"/>
            </w:pPr>
            <w:r>
              <w:rPr>
                <w:rFonts w:hint="eastAsia" w:ascii="宋体" w:hAnsi="宋体" w:cs="宋体"/>
              </w:rPr>
              <w:t xml:space="preserve">1961</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1948/1948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1948/1961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1948/2072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0.993</w:t>
            </w:r>
          </w:p>
        </w:tc>
        <w:tc>
          <w:tcPr>
            <w:tcW w:w="779" w:type="pct"/>
            <w:shd w:val="clear" w:color="auto" w:fill="FFFFFF"/>
            <w:vAlign w:val="center"/>
          </w:tcPr>
          <w:p>
            <w:pPr>
              <w:jc w:val="center"/>
            </w:pPr>
            <w:r>
              <w:rPr>
                <w:rFonts w:hint="eastAsia" w:ascii="宋体" w:hAnsi="宋体" w:cs="宋体"/>
              </w:rPr>
              <w:t xml:space="preserve">0.994</w:t>
            </w:r>
          </w:p>
        </w:tc>
        <w:tc>
          <w:tcPr>
            <w:tcW w:w="779"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备注：在价值时点2024年05月13日</w:t>
      </w:r>
      <w:r>
        <w:rPr>
          <w:rFonts w:hint="eastAsia" w:ascii="宋体" w:hAnsi="宋体" w:cs="宋体"/>
          <w:sz w:val="24"/>
          <w:szCs w:val="24"/>
        </w:rPr>
        <w:t xml:space="preserve">，2024年05月份价格指数尚未公布，本次估价采用2024年04月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699007419"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吴江区横扇镇春天花园6幢102室双拼住宅标准房基准价格评估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太湖怡景花园16幢102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太阳岛花苑26幢101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书香苑14幢02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御湖庄园7幢101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218.62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336.86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293.28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282.93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428.94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0.9384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0.9384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0.9384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0.8734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7955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9792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7412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8552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7955</w:t>
            </w:r>
          </w:p>
        </w:tc>
        <w:tc>
          <w:tcPr>
            <w:tcW w:w="922" w:type="pct"/>
            <w:shd w:val="clear" w:color="auto" w:fill="auto"/>
            <w:vAlign w:val="center"/>
          </w:tcPr>
          <w:p>
            <w:pPr>
              <w:jc w:val="center"/>
              <w:rPr>
                <w:rFonts w:ascii="宋体" w:hAnsi="宋体" w:cs="宋体"/>
              </w:rPr>
            </w:pPr>
            <w:r>
              <w:rPr>
                <w:rFonts w:hint="eastAsia" w:ascii="宋体" w:hAnsi="宋体" w:cs="宋体"/>
              </w:rPr>
              <w:t xml:space="preserve">8353</w:t>
            </w:r>
          </w:p>
        </w:tc>
        <w:tc>
          <w:tcPr>
            <w:tcW w:w="922" w:type="pct"/>
            <w:shd w:val="clear" w:color="auto" w:fill="auto"/>
            <w:vAlign w:val="center"/>
          </w:tcPr>
          <w:p>
            <w:pPr>
              <w:jc w:val="center"/>
              <w:rPr>
                <w:rFonts w:ascii="宋体" w:hAnsi="宋体" w:cs="宋体"/>
              </w:rPr>
            </w:pPr>
            <w:r>
              <w:rPr>
                <w:rFonts w:hint="eastAsia" w:ascii="宋体" w:hAnsi="宋体" w:cs="宋体"/>
              </w:rPr>
              <w:t xml:space="preserve">8412</w:t>
            </w:r>
          </w:p>
        </w:tc>
        <w:tc>
          <w:tcPr>
            <w:tcW w:w="922" w:type="pct"/>
            <w:shd w:val="clear" w:color="auto" w:fill="auto"/>
            <w:vAlign w:val="center"/>
          </w:tcPr>
          <w:p>
            <w:pPr>
              <w:jc w:val="center"/>
              <w:rPr>
                <w:rFonts w:ascii="宋体" w:hAnsi="宋体" w:cs="宋体"/>
              </w:rPr>
            </w:pPr>
            <w:r>
              <w:rPr>
                <w:rFonts w:hint="eastAsia" w:ascii="宋体" w:hAnsi="宋体" w:cs="宋体"/>
              </w:rPr>
              <w:t xml:space="preserve">9792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99/105.5</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99/105.5</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99/102.5</w:t>
            </w:r>
          </w:p>
        </w:tc>
        <w:tc>
          <w:tcPr>
            <w:tcW w:w="922" w:type="pct"/>
            <w:shd w:val="clear" w:color="auto" w:fill="auto"/>
            <w:vAlign w:val="center"/>
          </w:tcPr>
          <w:p>
            <w:pPr>
              <w:jc w:val="center"/>
              <w:rPr>
                <w:rFonts w:ascii="宋体" w:hAnsi="宋体" w:cs="宋体"/>
              </w:rPr>
            </w:pPr>
            <w:r>
              <w:rPr>
                <w:rFonts w:hint="eastAsia" w:ascii="宋体" w:hAnsi="宋体" w:cs="宋体"/>
              </w:rPr>
              <w:t xml:space="preserve">99/105.5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0.9318</w:t>
            </w:r>
          </w:p>
        </w:tc>
        <w:tc>
          <w:tcPr>
            <w:tcW w:w="922" w:type="pct"/>
            <w:shd w:val="clear" w:color="auto" w:fill="auto"/>
            <w:vAlign w:val="center"/>
          </w:tcPr>
          <w:p>
            <w:pPr>
              <w:jc w:val="center"/>
              <w:rPr>
                <w:rFonts w:ascii="宋体" w:hAnsi="宋体" w:cs="宋体"/>
              </w:rPr>
            </w:pPr>
            <w:r>
              <w:rPr>
                <w:rFonts w:hint="eastAsia" w:ascii="宋体" w:hAnsi="宋体" w:cs="宋体"/>
              </w:rPr>
              <w:t xml:space="preserve">0.9235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0.9921</w:t>
            </w:r>
          </w:p>
        </w:tc>
        <w:tc>
          <w:tcPr>
            <w:tcW w:w="922" w:type="pct"/>
            <w:shd w:val="clear" w:color="auto" w:fill="auto"/>
            <w:vAlign w:val="center"/>
          </w:tcPr>
          <w:p>
            <w:pPr>
              <w:jc w:val="center"/>
              <w:rPr>
                <w:rFonts w:ascii="宋体" w:hAnsi="宋体" w:cs="宋体"/>
              </w:rPr>
            </w:pPr>
            <w:r>
              <w:rPr>
                <w:rFonts w:hint="eastAsia" w:ascii="宋体" w:hAnsi="宋体" w:cs="宋体"/>
              </w:rPr>
              <w:t xml:space="preserve">0.8734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7412</w:t>
            </w:r>
          </w:p>
        </w:tc>
        <w:tc>
          <w:tcPr>
            <w:tcW w:w="922" w:type="pct"/>
            <w:shd w:val="clear" w:color="auto" w:fill="auto"/>
            <w:vAlign w:val="center"/>
          </w:tcPr>
          <w:p>
            <w:pPr>
              <w:jc w:val="center"/>
              <w:rPr>
                <w:rFonts w:ascii="宋体" w:hAnsi="宋体" w:cs="宋体"/>
              </w:rPr>
            </w:pPr>
            <w:r>
              <w:rPr>
                <w:rFonts w:hint="eastAsia" w:ascii="宋体" w:hAnsi="宋体" w:cs="宋体"/>
              </w:rPr>
              <w:t xml:space="preserve">7714</w:t>
            </w:r>
          </w:p>
        </w:tc>
        <w:tc>
          <w:tcPr>
            <w:tcW w:w="922" w:type="pct"/>
            <w:shd w:val="clear" w:color="auto" w:fill="auto"/>
            <w:vAlign w:val="center"/>
          </w:tcPr>
          <w:p>
            <w:pPr>
              <w:jc w:val="center"/>
              <w:rPr>
                <w:rFonts w:ascii="宋体" w:hAnsi="宋体" w:cs="宋体"/>
              </w:rPr>
            </w:pPr>
            <w:r>
              <w:rPr>
                <w:rFonts w:hint="eastAsia" w:ascii="宋体" w:hAnsi="宋体" w:cs="宋体"/>
              </w:rPr>
              <w:t xml:space="preserve">8346</w:t>
            </w:r>
          </w:p>
        </w:tc>
        <w:tc>
          <w:tcPr>
            <w:tcW w:w="922" w:type="pct"/>
            <w:shd w:val="clear" w:color="auto" w:fill="auto"/>
            <w:vAlign w:val="center"/>
          </w:tcPr>
          <w:p>
            <w:pPr>
              <w:jc w:val="center"/>
              <w:rPr>
                <w:rFonts w:ascii="宋体" w:hAnsi="宋体" w:cs="宋体"/>
              </w:rPr>
            </w:pPr>
            <w:r>
              <w:rPr>
                <w:rFonts w:hint="eastAsia" w:ascii="宋体" w:hAnsi="宋体" w:cs="宋体"/>
              </w:rPr>
              <w:t xml:space="preserve">8552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7412</w:t>
            </w:r>
          </w:p>
        </w:tc>
        <w:tc>
          <w:tcPr>
            <w:tcW w:w="922" w:type="pct"/>
            <w:shd w:val="clear" w:color="auto" w:fill="auto"/>
            <w:vAlign w:val="center"/>
          </w:tcPr>
          <w:p>
            <w:pPr>
              <w:jc w:val="center"/>
              <w:rPr>
                <w:rFonts w:ascii="宋体" w:hAnsi="宋体" w:cs="宋体"/>
              </w:rPr>
            </w:pPr>
            <w:r>
              <w:rPr>
                <w:rFonts w:hint="eastAsia" w:ascii="宋体" w:hAnsi="宋体" w:cs="宋体"/>
              </w:rPr>
              <w:t xml:space="preserve">7714</w:t>
            </w:r>
          </w:p>
        </w:tc>
        <w:tc>
          <w:tcPr>
            <w:tcW w:w="922" w:type="pct"/>
            <w:shd w:val="clear" w:color="auto" w:fill="auto"/>
            <w:vAlign w:val="center"/>
          </w:tcPr>
          <w:p>
            <w:pPr>
              <w:jc w:val="center"/>
              <w:rPr>
                <w:rFonts w:ascii="宋体" w:hAnsi="宋体" w:cs="宋体"/>
              </w:rPr>
            </w:pPr>
            <w:r>
              <w:rPr>
                <w:rFonts w:hint="eastAsia" w:ascii="宋体" w:hAnsi="宋体" w:cs="宋体"/>
              </w:rPr>
              <w:t xml:space="preserve">8346</w:t>
            </w:r>
          </w:p>
        </w:tc>
        <w:tc>
          <w:tcPr>
            <w:tcW w:w="922" w:type="pct"/>
            <w:shd w:val="clear" w:color="auto" w:fill="auto"/>
            <w:vAlign w:val="center"/>
          </w:tcPr>
          <w:p>
            <w:pPr>
              <w:jc w:val="center"/>
              <w:rPr>
                <w:rFonts w:ascii="宋体" w:hAnsi="宋体" w:cs="宋体"/>
              </w:rPr>
            </w:pPr>
            <w:r>
              <w:rPr>
                <w:rFonts w:hint="eastAsia" w:ascii="宋体" w:hAnsi="宋体" w:cs="宋体"/>
              </w:rPr>
              <w:t xml:space="preserve">8552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8006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F32050920220047389</w:t>
            </w:r>
          </w:p>
        </w:tc>
        <w:tc>
          <w:tcPr>
            <w:tcW w:w="1842" w:type="dxa"/>
            <w:vAlign w:val="center"/>
          </w:tcPr>
          <w:p>
            <w:pPr>
              <w:jc w:val="center"/>
            </w:pPr>
            <w:r>
              <w:rPr>
                <w:rFonts w:hint="eastAsia" w:ascii="宋体" w:hAnsi="宋体" w:cs="宋体"/>
              </w:rPr>
              <w:t xml:space="preserve">s202301110122</w:t>
            </w:r>
          </w:p>
        </w:tc>
        <w:tc>
          <w:tcPr>
            <w:tcW w:w="1843" w:type="dxa"/>
            <w:vAlign w:val="center"/>
          </w:tcPr>
          <w:p>
            <w:pPr>
              <w:jc w:val="center"/>
            </w:pPr>
            <w:r>
              <w:rPr>
                <w:rFonts w:hint="eastAsia" w:ascii="宋体" w:hAnsi="宋体" w:cs="宋体"/>
              </w:rPr>
              <w:t xml:space="preserve">s202308030055</w:t>
            </w:r>
          </w:p>
        </w:tc>
        <w:tc>
          <w:tcPr>
            <w:tcW w:w="1985" w:type="dxa"/>
            <w:vAlign w:val="center"/>
          </w:tcPr>
          <w:p>
            <w:pPr>
              <w:jc w:val="center"/>
            </w:pPr>
            <w:r>
              <w:rPr>
                <w:rFonts w:hint="eastAsia" w:ascii="宋体" w:hAnsi="宋体" w:cs="宋体"/>
              </w:rPr>
              <w:t xml:space="preserve">s202308100008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太湖怡景花园16幢102</w:t>
            </w:r>
          </w:p>
        </w:tc>
        <w:tc>
          <w:tcPr>
            <w:tcW w:w="1842" w:type="dxa"/>
            <w:vAlign w:val="center"/>
          </w:tcPr>
          <w:p>
            <w:pPr>
              <w:jc w:val="center"/>
            </w:pPr>
            <w:r>
              <w:rPr>
                <w:rFonts w:hint="eastAsia" w:ascii="宋体" w:hAnsi="宋体" w:cs="宋体"/>
              </w:rPr>
              <w:t xml:space="preserve">太阳岛花苑26幢101</w:t>
            </w:r>
          </w:p>
        </w:tc>
        <w:tc>
          <w:tcPr>
            <w:tcW w:w="1843" w:type="dxa"/>
            <w:vAlign w:val="center"/>
          </w:tcPr>
          <w:p>
            <w:pPr>
              <w:jc w:val="center"/>
            </w:pPr>
            <w:r>
              <w:rPr>
                <w:rFonts w:hint="eastAsia" w:ascii="宋体" w:hAnsi="宋体" w:cs="宋体"/>
              </w:rPr>
              <w:t xml:space="preserve">书香苑14幢02</w:t>
            </w:r>
          </w:p>
        </w:tc>
        <w:tc>
          <w:tcPr>
            <w:tcW w:w="1985" w:type="dxa"/>
            <w:vAlign w:val="center"/>
          </w:tcPr>
          <w:p>
            <w:pPr>
              <w:jc w:val="center"/>
            </w:pPr>
            <w:r>
              <w:rPr>
                <w:rFonts w:hint="eastAsia" w:ascii="宋体" w:hAnsi="宋体" w:cs="宋体"/>
              </w:rPr>
              <w:t xml:space="preserve">御湖庄园7幢101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太湖怡景花园16幢102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太阳岛花苑26幢101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书香苑14幢02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御湖庄园7幢101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