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苏吴地评税字(2024)吴江第00783号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苏州市吴江区桃源镇</w:t>
      </w:r>
      <w:r>
        <w:rPr>
          <w:rFonts w:ascii="宋体" w:hAnsi="宋体" w:eastAsia="宋体" w:asciiTheme="minorEastAsia" w:hAnsiTheme="minorEastAsia" w:eastAsiaTheme="minorEastAsia"/>
          <w:sz w:val="24"/>
          <w:szCs w:val="24"/>
        </w:rPr>
        <w:t xml:space="preserve">富源花园联排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2024年05月30日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估价对象位于苏州市吴江区区域范围内的富源花园住宅小区联排存量房。该小区内的物业类型包括：</w:t>
      </w:r>
      <w:r>
        <w:rPr>
          <w:rFonts w:ascii="宋体"/>
          <w:sz w:val="24"/>
        </w:rPr>
        <w:t xml:space="preserve">高层、小高层、联排、独栋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月修订版），结合估价人员现场查勘，选取富源花园</w:t>
      </w:r>
      <w:r>
        <w:rPr>
          <w:rFonts w:ascii="宋体"/>
          <w:sz w:val="24"/>
        </w:rPr>
        <w:t xml:space="preserve">4幢103室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240.55</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2079年08月25日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2024年05月13日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2024年05月13日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伍仟玖佰伍拾贰元整</w:t>
      </w:r>
      <w:r>
        <w:rPr>
          <w:rFonts w:hint="eastAsia" w:ascii="宋体" w:hAnsi="宋体"/>
          <w:b/>
          <w:bCs/>
          <w:sz w:val="24"/>
        </w:rPr>
        <w:t xml:space="preserve">（RMB</w:t>
      </w:r>
      <w:r>
        <w:rPr>
          <w:rFonts w:ascii="宋体" w:hAnsi="宋体"/>
          <w:b/>
          <w:bCs/>
          <w:sz w:val="24"/>
        </w:rPr>
        <w:t xml:space="preserve"> 5952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2024年05月30日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5.本报告作为整体使用时有效。若房地产市场无重大波动，本估价报告自出具日起一年内有效，从2024年05月30日至</w:t>
      </w:r>
      <w:r>
        <w:rPr>
          <w:rFonts w:ascii="宋体" w:hAnsi="宋体"/>
          <w:sz w:val="24"/>
        </w:rPr>
        <w:t xml:space="preserve">2025年05月29日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估价对象为富源花园</w:t>
      </w:r>
      <w:r>
        <w:rPr>
          <w:rFonts w:ascii="宋体" w:hAnsi="宋体"/>
          <w:sz w:val="24"/>
        </w:rPr>
        <w:t xml:space="preserve">4幢103室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广场路西侧</w:t>
      </w:r>
      <w:r>
        <w:rPr>
          <w:rFonts w:hint="eastAsia" w:hAnsi="宋体"/>
          <w:sz w:val="24"/>
        </w:rPr>
        <w:t xml:space="preserve">的“富源花园”住宅区内。</w:t>
      </w:r>
      <w:r>
        <w:rPr>
          <w:rFonts w:hint="eastAsia" w:ascii="宋体" w:hAnsi="宋体"/>
          <w:sz w:val="24"/>
        </w:rPr>
        <w:t xml:space="preserve">估价对象东至</w:t>
      </w:r>
      <w:r>
        <w:rPr>
          <w:rFonts w:ascii="宋体" w:hAnsi="宋体"/>
          <w:sz w:val="24"/>
          <w:szCs w:val="24"/>
        </w:rPr>
        <w:t xml:space="preserve">广场路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道路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镇中路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府前路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240.55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广场路西侧</w:t>
      </w:r>
      <w:r>
        <w:rPr>
          <w:rFonts w:hint="eastAsia" w:hAnsi="宋体"/>
          <w:sz w:val="24"/>
        </w:rPr>
        <w:t xml:space="preserve">的“富源花园”住宅区内。该小区内的物业类型包括：</w:t>
      </w:r>
      <w:r>
        <w:rPr>
          <w:rFonts w:hAnsi="宋体"/>
          <w:sz w:val="24"/>
        </w:rPr>
        <w:t xml:space="preserve">高层、小高层、联排、独栋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富源花园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“富源花园”小区</w:t>
            </w:r>
            <w:r>
              <w:rPr>
                <w:rFonts w:ascii="Cambria" w:hAnsi="宋体" w:eastAsia="黑体" w:cs="Times New Roman" w:asciiTheme="majorHAnsi" w:cstheme="majorBidi"/>
                <w:sz w:val="15"/>
                <w:szCs w:val="15"/>
              </w:rPr>
              <w:t xml:space="preserve">4幢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由于富源花园市场交易不活跃，片区内可选案例较少，因此选择的案例A，B，C，D，距离在3公里以外。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富源花园住宅2024年5月挂牌均价5686元/平方米，较年初持平。待评估二手房住宅近11个月（2023年07月-2024年05月）挂牌均价波动幅度较小，价格维持在5644-5686元/平方米之间。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均价说明：富源花园小区物业类型包括：高层、小高层、联排、独栋,房源均价为:5686元/平方米，包含毛坯价值以及附带装修价值。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240.55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2079年08月25日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2024年05月13日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伍仟玖佰伍拾贰元整</w:t>
      </w:r>
      <w:r>
        <w:rPr>
          <w:rFonts w:hint="eastAsia" w:ascii="宋体" w:hAnsi="宋体"/>
          <w:b/>
          <w:bCs/>
          <w:sz w:val="24"/>
        </w:rPr>
        <w:t xml:space="preserve">（RMB </w:t>
      </w:r>
      <w:r>
        <w:rPr>
          <w:rFonts w:ascii="宋体" w:hAnsi="宋体"/>
          <w:b/>
          <w:bCs/>
          <w:sz w:val="24"/>
        </w:rPr>
        <w:t xml:space="preserve">5952</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143.17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5952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本次实地查勘期为2024年05月13日，并于当日完成现场查勘。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2024年05月13日</w:t>
      </w:r>
      <w:r>
        <w:rPr>
          <w:rFonts w:hint="eastAsia" w:ascii="宋体"/>
          <w:sz w:val="24"/>
        </w:rPr>
        <w:t xml:space="preserve">至2024年05月30日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估价对象为苏州市吴江区“富源花园”住宅区内的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位于镇中路东侧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镇中路东侧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附近有747路、781路、7221路等多条公交线路</w:t>
      </w:r>
      <w:r>
        <w:rPr>
          <w:rFonts w:hint="eastAsia" w:hAnsi="宋体"/>
          <w:sz w:val="24"/>
        </w:rPr>
        <w:t xml:space="preserve">，</w:t>
      </w:r>
      <w:r>
        <w:rPr>
          <w:rFonts w:hAnsi="宋体"/>
          <w:sz w:val="24"/>
        </w:rPr>
        <w:t xml:space="preserve">至公交站点的距离约为500米，公交班次平均隔10分钟有一辆汽车通过。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新星超市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中国工商银行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铜罗农贸市场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铜罗幼儿园</w:t>
      </w:r>
      <w:r>
        <w:rPr>
          <w:rFonts w:hint="eastAsia" w:ascii="宋体" w:hAnsi="宋体" w:eastAsia="宋体" w:asciiTheme="minorEastAsia" w:hAnsiTheme="minorEastAsia" w:eastAsiaTheme="minorEastAsia"/>
          <w:sz w:val="24"/>
        </w:rPr>
        <w:t xml:space="preserve">、</w:t>
      </w:r>
      <w:r>
        <w:rPr>
          <w:rFonts w:hAnsi="宋体"/>
          <w:sz w:val="24"/>
        </w:rPr>
        <w:t xml:space="preserve">铜罗中心小学</w:t>
      </w:r>
      <w:r>
        <w:rPr>
          <w:rFonts w:hint="eastAsia" w:hAnsi="宋体"/>
          <w:sz w:val="24"/>
        </w:rPr>
        <w:t xml:space="preserve">、</w:t>
      </w:r>
      <w:r>
        <w:rPr>
          <w:rFonts w:hAnsi="宋体"/>
          <w:sz w:val="24"/>
        </w:rPr>
        <w:t xml:space="preserve">铜罗中学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2079年08月25日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广场路</w:t>
      </w:r>
      <w:r>
        <w:rPr>
          <w:rFonts w:hint="eastAsia" w:ascii="宋体" w:hAnsi="宋体"/>
          <w:sz w:val="24"/>
        </w:rPr>
        <w:t xml:space="preserve">，南至</w:t>
      </w:r>
      <w:r>
        <w:rPr>
          <w:rFonts w:ascii="宋体" w:hAnsi="宋体"/>
          <w:sz w:val="24"/>
        </w:rPr>
        <w:t xml:space="preserve">道路</w:t>
      </w:r>
      <w:r>
        <w:rPr>
          <w:rFonts w:hint="eastAsia" w:ascii="宋体" w:hAnsi="宋体"/>
          <w:sz w:val="24"/>
        </w:rPr>
        <w:t xml:space="preserve">，西至</w:t>
      </w:r>
      <w:r>
        <w:rPr>
          <w:rFonts w:ascii="宋体" w:hAnsi="宋体"/>
          <w:sz w:val="24"/>
        </w:rPr>
        <w:t xml:space="preserve">镇中路</w:t>
      </w:r>
      <w:r>
        <w:rPr>
          <w:rFonts w:hint="eastAsia" w:ascii="宋体" w:hAnsi="宋体"/>
          <w:sz w:val="24"/>
        </w:rPr>
        <w:t xml:space="preserve">，北至</w:t>
      </w:r>
      <w:r>
        <w:rPr>
          <w:rFonts w:ascii="宋体" w:hAnsi="宋体"/>
          <w:sz w:val="24"/>
        </w:rPr>
        <w:t xml:space="preserve">府前路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估价对象为坐落于苏州市吴江区富源花园</w:t>
      </w:r>
      <w:r>
        <w:t xml:space="preserve"> </w:t>
      </w:r>
      <w:r>
        <w:rPr>
          <w:rFonts w:ascii="宋体" w:hAnsi="宋体"/>
          <w:kern w:val="2"/>
          <w:sz w:val="24"/>
        </w:rPr>
        <w:t xml:space="preserve">4幢103室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240.55</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四室两厅三卫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估价对象建成于2011年，基础较为稳固，未见沉降；墙面、地面、门窗等保养完好，综合保养成新度为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富源花园住宅2024年5月挂牌均价5686元/平方米，较年初持平。待评估二手房住宅近11个月（2023年07月-2024年05月）挂牌均价波动幅度较小，价格维持在5644-5686元/平方米之间。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苏州市吴江区富源花园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F32050920230046949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F32050920230034945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s202307070301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s202311280029</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吴江区桃源镇富源花园4幢103室联排住宅标准房基准价格评估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富源花园10幢102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锦港花园4幢107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南麻社区新起点家园15幢103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富源花园10幢102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240.55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241.03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278.47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276.37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241.03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2024年05月13日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6223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7182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6585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6223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指数，吴江区2023年05月至2024年04月住宅月度价格指数表为：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2024年04月13日</w:t>
            </w:r>
          </w:p>
        </w:tc>
        <w:tc>
          <w:tcPr>
            <w:tcW w:w="778"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2023年07月</w:t>
            </w:r>
          </w:p>
        </w:tc>
        <w:tc>
          <w:tcPr>
            <w:tcW w:w="779" w:type="pct"/>
            <w:shd w:val="clear" w:color="auto" w:fill="FFFFFF"/>
            <w:vAlign w:val="center"/>
          </w:tcPr>
          <w:p>
            <w:pPr>
              <w:jc w:val="center"/>
            </w:pPr>
            <w:r>
              <w:rPr>
                <w:rFonts w:hint="eastAsia" w:ascii="宋体" w:hAnsi="宋体" w:cs="宋体"/>
              </w:rPr>
              <w:t xml:space="preserve">2023年11月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6223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7182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6585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6223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1948</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2070</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1948/1948</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1948/2070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0.952</w:t>
            </w:r>
          </w:p>
        </w:tc>
        <w:tc>
          <w:tcPr>
            <w:tcW w:w="779" w:type="pct"/>
            <w:shd w:val="clear" w:color="auto" w:fill="FFFFFF"/>
            <w:vAlign w:val="center"/>
          </w:tcPr>
          <w:p>
            <w:pPr>
              <w:jc w:val="center"/>
            </w:pPr>
            <w:r>
              <w:rPr>
                <w:rFonts w:hint="eastAsia" w:ascii="宋体" w:hAnsi="宋体" w:cs="宋体"/>
              </w:rPr>
              <w:t xml:space="preserve">0.952</w:t>
            </w:r>
          </w:p>
        </w:tc>
        <w:tc>
          <w:tcPr>
            <w:tcW w:w="779" w:type="pct"/>
            <w:shd w:val="clear" w:color="auto" w:fill="FFFFFF"/>
            <w:vAlign w:val="center"/>
          </w:tcPr>
          <w:p>
            <w:pPr>
              <w:jc w:val="center"/>
            </w:pPr>
            <w:r>
              <w:rPr>
                <w:rFonts w:hint="eastAsia" w:ascii="宋体" w:hAnsi="宋体" w:cs="宋体"/>
              </w:rPr>
              <w:t xml:space="preserve">0.941</w:t>
            </w:r>
          </w:p>
        </w:tc>
        <w:tc>
          <w:tcPr>
            <w:tcW w:w="779" w:type="pct"/>
            <w:shd w:val="clear" w:color="auto" w:fill="FFFFFF"/>
            <w:vAlign w:val="center"/>
          </w:tcPr>
          <w:p>
            <w:pPr>
              <w:jc w:val="center"/>
            </w:pPr>
            <w:r>
              <w:rPr>
                <w:rFonts w:hint="eastAsia" w:ascii="宋体" w:hAnsi="宋体" w:cs="宋体"/>
              </w:rPr>
              <w:t xml:space="preserve">0.952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备注：在价值时点2024年05月13日</w:t>
      </w:r>
      <w:r>
        <w:rPr>
          <w:rFonts w:hint="eastAsia" w:ascii="宋体" w:hAnsi="宋体" w:cs="宋体"/>
          <w:sz w:val="24"/>
          <w:szCs w:val="24"/>
        </w:rPr>
        <w:t xml:space="preserve">，2024年05月份价格指数尚未公布，本次估价采用2024年04月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14128771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吴江区桃源镇富源花园4幢103室联排住宅标准房基准价格评估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富源花园10幢102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锦港花园4幢107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南麻社区新起点家园15幢103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富源花园10幢102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240.55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241.03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278.47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276.37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241.03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0.8555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6585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6223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5924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6326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5924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6223</w:t>
            </w:r>
          </w:p>
        </w:tc>
        <w:tc>
          <w:tcPr>
            <w:tcW w:w="922" w:type="pct"/>
            <w:shd w:val="clear" w:color="auto" w:fill="auto"/>
            <w:vAlign w:val="center"/>
          </w:tcPr>
          <w:p>
            <w:pPr>
              <w:jc w:val="center"/>
              <w:rPr>
                <w:rFonts w:ascii="宋体" w:hAnsi="宋体" w:cs="宋体"/>
              </w:rPr>
            </w:pPr>
            <w:r>
              <w:rPr>
                <w:rFonts w:hint="eastAsia" w:ascii="宋体" w:hAnsi="宋体" w:cs="宋体"/>
              </w:rPr>
              <w:t xml:space="preserve">7182</w:t>
            </w:r>
          </w:p>
        </w:tc>
        <w:tc>
          <w:tcPr>
            <w:tcW w:w="922" w:type="pct"/>
            <w:shd w:val="clear" w:color="auto" w:fill="auto"/>
            <w:vAlign w:val="center"/>
          </w:tcPr>
          <w:p>
            <w:pPr>
              <w:jc w:val="center"/>
              <w:rPr>
                <w:rFonts w:ascii="宋体" w:hAnsi="宋体" w:cs="宋体"/>
              </w:rPr>
            </w:pPr>
            <w:r>
              <w:rPr>
                <w:rFonts w:hint="eastAsia" w:ascii="宋体" w:hAnsi="宋体" w:cs="宋体"/>
              </w:rPr>
              <w:t xml:space="preserve">6585</w:t>
            </w:r>
          </w:p>
        </w:tc>
        <w:tc>
          <w:tcPr>
            <w:tcW w:w="922" w:type="pct"/>
            <w:shd w:val="clear" w:color="auto" w:fill="auto"/>
            <w:vAlign w:val="center"/>
          </w:tcPr>
          <w:p>
            <w:pPr>
              <w:jc w:val="center"/>
              <w:rPr>
                <w:rFonts w:ascii="宋体" w:hAnsi="宋体" w:cs="宋体"/>
              </w:rPr>
            </w:pPr>
            <w:r>
              <w:rPr>
                <w:rFonts w:hint="eastAsia" w:ascii="宋体" w:hAnsi="宋体" w:cs="宋体"/>
              </w:rPr>
              <w:t xml:space="preserve">6223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c>
          <w:tcPr>
            <w:tcW w:w="922" w:type="pct"/>
            <w:shd w:val="clear" w:color="auto" w:fill="auto"/>
            <w:vAlign w:val="center"/>
          </w:tcPr>
          <w:p>
            <w:pPr>
              <w:jc w:val="center"/>
              <w:rPr>
                <w:rFonts w:ascii="宋体" w:hAnsi="宋体" w:cs="宋体"/>
              </w:rPr>
            </w:pPr>
            <w:r>
              <w:rPr>
                <w:rFonts w:hint="eastAsia" w:ascii="宋体" w:hAnsi="宋体" w:cs="宋体"/>
              </w:rPr>
              <w:t xml:space="preserve">0.941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99/99</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99/107</w:t>
            </w:r>
          </w:p>
        </w:tc>
        <w:tc>
          <w:tcPr>
            <w:tcW w:w="922" w:type="pct"/>
            <w:shd w:val="clear" w:color="auto" w:fill="auto"/>
            <w:vAlign w:val="center"/>
          </w:tcPr>
          <w:p>
            <w:pPr>
              <w:jc w:val="center"/>
              <w:rPr>
                <w:rFonts w:ascii="宋体" w:hAnsi="宋体" w:cs="宋体"/>
              </w:rPr>
            </w:pPr>
            <w:r>
              <w:rPr>
                <w:rFonts w:hint="eastAsia" w:ascii="宋体" w:hAnsi="宋体" w:cs="宋体"/>
              </w:rPr>
              <w:t xml:space="preserve">99/110</w:t>
            </w:r>
          </w:p>
        </w:tc>
        <w:tc>
          <w:tcPr>
            <w:tcW w:w="922" w:type="pct"/>
            <w:shd w:val="clear" w:color="auto" w:fill="auto"/>
            <w:vAlign w:val="center"/>
          </w:tcPr>
          <w:p>
            <w:pPr>
              <w:jc w:val="center"/>
              <w:rPr>
                <w:rFonts w:ascii="宋体" w:hAnsi="宋体" w:cs="宋体"/>
              </w:rPr>
            </w:pPr>
            <w:r>
              <w:rPr>
                <w:rFonts w:hint="eastAsia" w:ascii="宋体" w:hAnsi="宋体" w:cs="宋体"/>
              </w:rPr>
              <w:t xml:space="preserve">99/99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c>
          <w:tcPr>
            <w:tcW w:w="922" w:type="pct"/>
            <w:shd w:val="clear" w:color="auto" w:fill="auto"/>
            <w:vAlign w:val="center"/>
          </w:tcPr>
          <w:p>
            <w:pPr>
              <w:jc w:val="center"/>
              <w:rPr>
                <w:rFonts w:ascii="宋体" w:hAnsi="宋体" w:cs="宋体"/>
              </w:rPr>
            </w:pPr>
            <w:r>
              <w:rPr>
                <w:rFonts w:hint="eastAsia" w:ascii="宋体" w:hAnsi="宋体" w:cs="宋体"/>
              </w:rPr>
              <w:t xml:space="preserve">0.8808</w:t>
            </w:r>
          </w:p>
        </w:tc>
        <w:tc>
          <w:tcPr>
            <w:tcW w:w="922" w:type="pct"/>
            <w:shd w:val="clear" w:color="auto" w:fill="auto"/>
            <w:vAlign w:val="center"/>
          </w:tcPr>
          <w:p>
            <w:pPr>
              <w:jc w:val="center"/>
              <w:rPr>
                <w:rFonts w:ascii="宋体" w:hAnsi="宋体" w:cs="宋体"/>
              </w:rPr>
            </w:pPr>
            <w:r>
              <w:rPr>
                <w:rFonts w:hint="eastAsia" w:ascii="宋体" w:hAnsi="宋体" w:cs="宋体"/>
              </w:rPr>
              <w:t xml:space="preserve">0.8555</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5924</w:t>
            </w:r>
          </w:p>
        </w:tc>
        <w:tc>
          <w:tcPr>
            <w:tcW w:w="922" w:type="pct"/>
            <w:shd w:val="clear" w:color="auto" w:fill="auto"/>
            <w:vAlign w:val="center"/>
          </w:tcPr>
          <w:p>
            <w:pPr>
              <w:jc w:val="center"/>
              <w:rPr>
                <w:rFonts w:ascii="宋体" w:hAnsi="宋体" w:cs="宋体"/>
              </w:rPr>
            </w:pPr>
            <w:r>
              <w:rPr>
                <w:rFonts w:hint="eastAsia" w:ascii="宋体" w:hAnsi="宋体" w:cs="宋体"/>
              </w:rPr>
              <w:t xml:space="preserve">6326</w:t>
            </w:r>
          </w:p>
        </w:tc>
        <w:tc>
          <w:tcPr>
            <w:tcW w:w="922" w:type="pct"/>
            <w:shd w:val="clear" w:color="auto" w:fill="auto"/>
            <w:vAlign w:val="center"/>
          </w:tcPr>
          <w:p>
            <w:pPr>
              <w:jc w:val="center"/>
              <w:rPr>
                <w:rFonts w:ascii="宋体" w:hAnsi="宋体" w:cs="宋体"/>
              </w:rPr>
            </w:pPr>
            <w:r>
              <w:rPr>
                <w:rFonts w:hint="eastAsia" w:ascii="宋体" w:hAnsi="宋体" w:cs="宋体"/>
              </w:rPr>
              <w:t xml:space="preserve">5633</w:t>
            </w:r>
          </w:p>
        </w:tc>
        <w:tc>
          <w:tcPr>
            <w:tcW w:w="922" w:type="pct"/>
            <w:shd w:val="clear" w:color="auto" w:fill="auto"/>
            <w:vAlign w:val="center"/>
          </w:tcPr>
          <w:p>
            <w:pPr>
              <w:jc w:val="center"/>
              <w:rPr>
                <w:rFonts w:ascii="宋体" w:hAnsi="宋体" w:cs="宋体"/>
              </w:rPr>
            </w:pPr>
            <w:r>
              <w:rPr>
                <w:rFonts w:hint="eastAsia" w:ascii="宋体" w:hAnsi="宋体" w:cs="宋体"/>
              </w:rPr>
              <w:t xml:space="preserve">5924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5924</w:t>
            </w:r>
          </w:p>
        </w:tc>
        <w:tc>
          <w:tcPr>
            <w:tcW w:w="922" w:type="pct"/>
            <w:shd w:val="clear" w:color="auto" w:fill="auto"/>
            <w:vAlign w:val="center"/>
          </w:tcPr>
          <w:p>
            <w:pPr>
              <w:jc w:val="center"/>
              <w:rPr>
                <w:rFonts w:ascii="宋体" w:hAnsi="宋体" w:cs="宋体"/>
              </w:rPr>
            </w:pPr>
            <w:r>
              <w:rPr>
                <w:rFonts w:hint="eastAsia" w:ascii="宋体" w:hAnsi="宋体" w:cs="宋体"/>
              </w:rPr>
              <w:t xml:space="preserve">6326</w:t>
            </w:r>
          </w:p>
        </w:tc>
        <w:tc>
          <w:tcPr>
            <w:tcW w:w="922" w:type="pct"/>
            <w:shd w:val="clear" w:color="auto" w:fill="auto"/>
            <w:vAlign w:val="center"/>
          </w:tcPr>
          <w:p>
            <w:pPr>
              <w:jc w:val="center"/>
              <w:rPr>
                <w:rFonts w:ascii="宋体" w:hAnsi="宋体" w:cs="宋体"/>
              </w:rPr>
            </w:pPr>
            <w:r>
              <w:rPr>
                <w:rFonts w:hint="eastAsia" w:ascii="宋体" w:hAnsi="宋体" w:cs="宋体"/>
              </w:rPr>
              <w:t xml:space="preserve">5633</w:t>
            </w:r>
          </w:p>
        </w:tc>
        <w:tc>
          <w:tcPr>
            <w:tcW w:w="922" w:type="pct"/>
            <w:shd w:val="clear" w:color="auto" w:fill="auto"/>
            <w:vAlign w:val="center"/>
          </w:tcPr>
          <w:p>
            <w:pPr>
              <w:jc w:val="center"/>
              <w:rPr>
                <w:rFonts w:ascii="宋体" w:hAnsi="宋体" w:cs="宋体"/>
              </w:rPr>
            </w:pPr>
            <w:r>
              <w:rPr>
                <w:rFonts w:hint="eastAsia" w:ascii="宋体" w:hAnsi="宋体" w:cs="宋体"/>
              </w:rPr>
              <w:t xml:space="preserve">5924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5952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F32050920230046949</w:t>
            </w:r>
          </w:p>
        </w:tc>
        <w:tc>
          <w:tcPr>
            <w:tcW w:w="1842" w:type="dxa"/>
            <w:vAlign w:val="center"/>
          </w:tcPr>
          <w:p>
            <w:pPr>
              <w:jc w:val="center"/>
            </w:pPr>
            <w:r>
              <w:rPr>
                <w:rFonts w:hint="eastAsia" w:ascii="宋体" w:hAnsi="宋体" w:cs="宋体"/>
              </w:rPr>
              <w:t xml:space="preserve">F32050920230034945</w:t>
            </w:r>
          </w:p>
        </w:tc>
        <w:tc>
          <w:tcPr>
            <w:tcW w:w="1843" w:type="dxa"/>
            <w:vAlign w:val="center"/>
          </w:tcPr>
          <w:p>
            <w:pPr>
              <w:jc w:val="center"/>
            </w:pPr>
            <w:r>
              <w:rPr>
                <w:rFonts w:hint="eastAsia" w:ascii="宋体" w:hAnsi="宋体" w:cs="宋体"/>
              </w:rPr>
              <w:t xml:space="preserve">s202307070301</w:t>
            </w:r>
          </w:p>
        </w:tc>
        <w:tc>
          <w:tcPr>
            <w:tcW w:w="1985" w:type="dxa"/>
            <w:vAlign w:val="center"/>
          </w:tcPr>
          <w:p>
            <w:pPr>
              <w:jc w:val="center"/>
            </w:pPr>
            <w:r>
              <w:rPr>
                <w:rFonts w:hint="eastAsia" w:ascii="宋体" w:hAnsi="宋体" w:cs="宋体"/>
              </w:rPr>
              <w:t xml:space="preserve">s202311280029</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富源花园10幢102</w:t>
            </w:r>
          </w:p>
        </w:tc>
        <w:tc>
          <w:tcPr>
            <w:tcW w:w="1842" w:type="dxa"/>
            <w:vAlign w:val="center"/>
          </w:tcPr>
          <w:p>
            <w:pPr>
              <w:jc w:val="center"/>
            </w:pPr>
            <w:r>
              <w:rPr>
                <w:rFonts w:hint="eastAsia" w:ascii="宋体" w:hAnsi="宋体" w:cs="宋体"/>
              </w:rPr>
              <w:t xml:space="preserve">锦港花园4幢107</w:t>
            </w:r>
          </w:p>
        </w:tc>
        <w:tc>
          <w:tcPr>
            <w:tcW w:w="1843" w:type="dxa"/>
            <w:vAlign w:val="center"/>
          </w:tcPr>
          <w:p>
            <w:pPr>
              <w:jc w:val="center"/>
            </w:pPr>
            <w:r>
              <w:rPr>
                <w:rFonts w:hint="eastAsia" w:ascii="宋体" w:hAnsi="宋体" w:cs="宋体"/>
              </w:rPr>
              <w:t xml:space="preserve">南麻社区新起点家园15幢103</w:t>
            </w:r>
          </w:p>
        </w:tc>
        <w:tc>
          <w:tcPr>
            <w:tcW w:w="1985" w:type="dxa"/>
            <w:vAlign w:val="center"/>
          </w:tcPr>
          <w:p>
            <w:pPr>
              <w:jc w:val="center"/>
            </w:pPr>
            <w:r>
              <w:rPr>
                <w:rFonts w:hint="eastAsia" w:ascii="宋体" w:hAnsi="宋体" w:cs="宋体"/>
              </w:rPr>
              <w:t xml:space="preserve">富源花园10幢102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富源花园10幢102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锦港花园4幢107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南麻社区新起点家园15幢103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富源花园10幢102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4"/>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19"/>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1"/>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2"/>
                </v:shape>
              </w:pict>
            </w:r>
          </w:p>
        </w:tc>
      </w:tr>
    </w:tbl>
    <w:p>
      <w:pPr>
        <w:spacing w:line="360" w:lineRule="auto"/>
        <w:jc w:val="both"/>
        <w:rPr>
          <w:rFonts w:ascii="仿宋_GB2312" w:hAnsi="华文仿宋" w:eastAsia="仿宋_GB2312"/>
          <w:bCs/>
          <w:sz w:val="28"/>
          <w:szCs w:val="28"/>
        </w:rPr>
      </w:pPr>
    </w:p>
    <w:sectPr>
      <w:footerReference w:type="default" r:id="rId23"/>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pn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footer" Target="footer2.xml" /><Relationship Id="rId24" Type="http://schemas.openxmlformats.org/officeDocument/2006/relationships/theme" Target="theme/theme1.xml" /><Relationship Id="rId25" Type="http://schemas.openxmlformats.org/officeDocument/2006/relationships/styles" Target="styles.xml" /><Relationship Id="rId26" Type="http://schemas.openxmlformats.org/officeDocument/2006/relationships/webSettings" Target="webSettings.xml" /><Relationship Id="rId27" Type="http://schemas.openxmlformats.org/officeDocument/2006/relationships/numbering" Target="numbering.xml" /><Relationship Id="rId28" Type="http://schemas.openxmlformats.org/officeDocument/2006/relationships/fontTable" Target="fontTable.xml" /><Relationship Id="rId29" Type="http://schemas.openxmlformats.org/officeDocument/2006/relationships/settings" Target="settings.xml" /><Relationship Id="rId3" Type="http://schemas.openxmlformats.org/officeDocument/2006/relationships/footer" Target="footer1.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