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苏吴地评税字(2024)吴江第00791号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东方海悦花园联排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估价对象位于苏州市吴江区区域范围内的东方海悦花园住宅小区联排存量房。该小区内的物业类型包括：</w:t>
      </w:r>
      <w:r>
        <w:rPr>
          <w:rFonts w:ascii="宋体"/>
          <w:sz w:val="24"/>
        </w:rPr>
        <w:t xml:space="preserve">普通多层、小高层、高层、联排、叠加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月修订版），结合估价人员现场查勘，选取东方海悦花园</w:t>
      </w:r>
      <w:r>
        <w:rPr>
          <w:rFonts w:ascii="宋体"/>
          <w:sz w:val="24"/>
        </w:rPr>
        <w:t xml:space="preserve">61幢102室</w:t>
      </w:r>
      <w:r>
        <w:rPr>
          <w:rFonts w:hint="eastAsia" w:ascii="宋体"/>
          <w:sz w:val="24"/>
        </w:rPr>
        <w:t xml:space="preserve">为该小区</w:t>
      </w:r>
      <w:r>
        <w:rPr>
          <w:rFonts w:ascii="宋体"/>
          <w:sz w:val="24"/>
        </w:rPr>
        <w:t xml:space="preserve">砖混结构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225.82</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2074年04月21日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2024年06月24日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2024年06月24日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壹万叁仟贰佰陆拾肆元整</w:t>
      </w:r>
      <w:r>
        <w:rPr>
          <w:rFonts w:hint="eastAsia" w:ascii="宋体" w:hAnsi="宋体"/>
          <w:b/>
          <w:bCs/>
          <w:sz w:val="24"/>
        </w:rPr>
        <w:t xml:space="preserve">（RMB</w:t>
      </w:r>
      <w:r>
        <w:rPr>
          <w:rFonts w:ascii="宋体" w:hAnsi="宋体"/>
          <w:b/>
          <w:bCs/>
          <w:sz w:val="24"/>
        </w:rPr>
        <w:t xml:space="preserve"> 13264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2024年06月30日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5.本报告作为整体使用时有效。若房地产市场无重大波动，本估价报告自出具日起一年内有效，从2024年06月30日至</w:t>
      </w:r>
      <w:r>
        <w:rPr>
          <w:rFonts w:ascii="宋体" w:hAnsi="宋体"/>
          <w:sz w:val="24"/>
        </w:rPr>
        <w:t xml:space="preserve">2025年06月29日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估价对象为东方海悦花园</w:t>
      </w:r>
      <w:r>
        <w:rPr>
          <w:rFonts w:ascii="宋体" w:hAnsi="宋体"/>
          <w:sz w:val="24"/>
        </w:rPr>
        <w:t xml:space="preserve">61幢102室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的“东方海悦花园”住宅区内。</w:t>
      </w:r>
      <w:r>
        <w:rPr>
          <w:rFonts w:hint="eastAsia" w:ascii="宋体" w:hAnsi="宋体"/>
          <w:sz w:val="24"/>
        </w:rPr>
        <w:t xml:space="preserve">估价对象东至</w:t>
      </w:r>
      <w:r>
        <w:rPr>
          <w:rFonts w:ascii="宋体" w:hAnsi="宋体"/>
          <w:sz w:val="24"/>
          <w:szCs w:val="24"/>
        </w:rPr>
        <w:t xml:space="preserve">运东大道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运河路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三兴路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225.82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运东大道西侧</w:t>
      </w:r>
      <w:r>
        <w:rPr>
          <w:rFonts w:hint="eastAsia" w:hAnsi="宋体"/>
          <w:sz w:val="24"/>
        </w:rPr>
        <w:t xml:space="preserve">的“东方海悦花园”住宅区内。该小区内的物业类型包括：</w:t>
      </w:r>
      <w:r>
        <w:rPr>
          <w:rFonts w:hAnsi="宋体"/>
          <w:sz w:val="24"/>
        </w:rPr>
        <w:t xml:space="preserve">普通多层、小高层、高层、联排、叠加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东方海悦花园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“东方海悦花园”小区</w:t>
            </w:r>
            <w:r>
              <w:rPr>
                <w:rFonts w:ascii="Cambria" w:hAnsi="宋体" w:eastAsia="黑体" w:cs="Times New Roman" w:asciiTheme="majorHAnsi" w:cstheme="majorBidi"/>
                <w:sz w:val="15"/>
                <w:szCs w:val="15"/>
              </w:rPr>
              <w:t xml:space="preserve">61幢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由于东方海悦花园市场交易不活跃，片区内可选案例较少，因此选择的案例A，B，C，D，距离在3公里以外。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东方海悦花园住宅2024年6月挂牌均价16500元/平方米，较年初持平。待评估二手房住宅近8个月（2023年11月-2024年06月）挂牌均价波动幅度较小，价格维持在16500-20247元/平方米之间。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均价说明：东方海悦花园小区物业类型包括：普通多层、小高层、高层、联排、叠加,房源均价为:16500元/平方米，包含毛坯价值以及附带装修价值。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该房屋为3层住宅楼的第1-3层，建于2009年，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225.82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2074年04月21日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2024年06月24日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壹万叁仟贰佰陆拾肆元整</w:t>
      </w:r>
      <w:r>
        <w:rPr>
          <w:rFonts w:hint="eastAsia" w:ascii="宋体" w:hAnsi="宋体"/>
          <w:b/>
          <w:bCs/>
          <w:sz w:val="24"/>
        </w:rPr>
        <w:t xml:space="preserve">（RMB </w:t>
      </w:r>
      <w:r>
        <w:rPr>
          <w:rFonts w:ascii="宋体" w:hAnsi="宋体"/>
          <w:b/>
          <w:bCs/>
          <w:sz w:val="24"/>
        </w:rPr>
        <w:t xml:space="preserve">13264</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299.52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13264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本次实地查勘期为2024年06月24日，并于当日完成现场查勘。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2024年06月24日</w:t>
      </w:r>
      <w:r>
        <w:rPr>
          <w:rFonts w:hint="eastAsia" w:ascii="宋体"/>
          <w:sz w:val="24"/>
        </w:rPr>
        <w:t xml:space="preserve">至2024年06月30日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估价对象为苏州市吴江区“东方海悦花园”住宅区内的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位于河道东侧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河道东侧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附近有91路、707路、750路、760路等多条公交线路</w:t>
      </w:r>
      <w:r>
        <w:rPr>
          <w:rFonts w:hint="eastAsia" w:hAnsi="宋体"/>
          <w:sz w:val="24"/>
        </w:rPr>
        <w:t xml:space="preserve">，</w:t>
      </w:r>
      <w:r>
        <w:rPr>
          <w:rFonts w:hAnsi="宋体"/>
          <w:sz w:val="24"/>
        </w:rPr>
        <w:t xml:space="preserve">至公交站点的距离约为100米，公交班次平均隔5分钟有一辆汽车通过。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万客隆生活超市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三里桥农贸市场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爱儿法幼儿园</w:t>
      </w:r>
      <w:r>
        <w:rPr>
          <w:rFonts w:hint="eastAsia" w:ascii="宋体" w:hAnsi="宋体" w:eastAsia="宋体" w:asciiTheme="minorEastAsia" w:hAnsiTheme="minorEastAsia" w:eastAsiaTheme="minorEastAsia"/>
          <w:sz w:val="24"/>
        </w:rPr>
        <w:t xml:space="preserve">、</w:t>
      </w:r>
      <w:r>
        <w:rPr>
          <w:rFonts w:hAnsi="宋体"/>
          <w:sz w:val="24"/>
        </w:rPr>
        <w:t xml:space="preserve">北门小学</w:t>
      </w:r>
      <w:r>
        <w:rPr>
          <w:rFonts w:hint="eastAsia" w:hAnsi="宋体"/>
          <w:sz w:val="24"/>
        </w:rPr>
        <w:t xml:space="preserve">、</w:t>
      </w:r>
      <w:r>
        <w:rPr>
          <w:rFonts w:hAnsi="宋体"/>
          <w:sz w:val="24"/>
        </w:rPr>
        <w:t xml:space="preserve">吴江交通学校</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2074年04月21日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运东大道</w:t>
      </w:r>
      <w:r>
        <w:rPr>
          <w:rFonts w:hint="eastAsia" w:ascii="宋体" w:hAnsi="宋体"/>
          <w:sz w:val="24"/>
        </w:rPr>
        <w:t xml:space="preserve">，南至</w:t>
      </w:r>
      <w:r>
        <w:rPr>
          <w:rFonts w:ascii="宋体" w:hAnsi="宋体"/>
          <w:sz w:val="24"/>
        </w:rPr>
        <w:t xml:space="preserve">运河路</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三兴路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估价对象为坐落于苏州市吴江区东方海悦花园</w:t>
      </w:r>
      <w:r>
        <w:t xml:space="preserve"> </w:t>
      </w:r>
      <w:r>
        <w:rPr>
          <w:rFonts w:ascii="宋体" w:hAnsi="宋体"/>
          <w:kern w:val="2"/>
          <w:sz w:val="24"/>
        </w:rPr>
        <w:t xml:space="preserve">61幢102室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225.82</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东方海悦花园住宅2024年6月挂牌均价16500元/平方米，较年初持平。待评估二手房住宅近8个月（2023年11月-2024年06月）挂牌均价波动幅度较小，价格维持在16500-20247元/平方米之间。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苏州市吴江区东方海悦花园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F32050920240006205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F32050920230035536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s202311190002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s202311200042</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吴江区吴江经济开发区东方海悦花园61幢102室联排住宅标准房基准价格评估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太阳岛花苑69幢103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云水谣121幢01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乐湖苑141幢102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金域华府30号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281.57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456.68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248.72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401.88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2024年06月24日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13070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15238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14930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指数，吴江区2023年06月至2024年05月住宅月度价格指数表为：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2024年05月24日</w:t>
            </w:r>
          </w:p>
        </w:tc>
        <w:tc>
          <w:tcPr>
            <w:tcW w:w="778"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14410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15238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14930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1939</w:t>
            </w:r>
          </w:p>
        </w:tc>
        <w:tc>
          <w:tcPr>
            <w:tcW w:w="778"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1939/1939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w:t>
            </w:r>
          </w:p>
        </w:tc>
        <w:tc>
          <w:tcPr>
            <w:tcW w:w="779" w:type="pct"/>
            <w:shd w:val="clear" w:color="auto" w:fill="FFFFFF"/>
            <w:vAlign w:val="center"/>
          </w:tcPr>
          <w:p>
            <w:pPr>
              <w:jc w:val="center"/>
            </w:pPr>
            <w:r>
              <w:rPr>
                <w:rFonts w:hint="eastAsia" w:ascii="宋体" w:hAnsi="宋体" w:cs="宋体"/>
              </w:rPr>
              <w:t xml:space="preserve">0.948</w:t>
            </w:r>
          </w:p>
        </w:tc>
        <w:tc>
          <w:tcPr>
            <w:tcW w:w="779" w:type="pct"/>
            <w:shd w:val="clear" w:color="auto" w:fill="FFFFFF"/>
            <w:vAlign w:val="center"/>
          </w:tcPr>
          <w:p>
            <w:pPr>
              <w:jc w:val="center"/>
            </w:pPr>
            <w:r>
              <w:rPr>
                <w:rFonts w:hint="eastAsia" w:ascii="宋体" w:hAnsi="宋体" w:cs="宋体"/>
              </w:rPr>
              <w:t xml:space="preserve">0.948</w:t>
            </w:r>
          </w:p>
        </w:tc>
        <w:tc>
          <w:tcPr>
            <w:tcW w:w="779" w:type="pct"/>
            <w:shd w:val="clear" w:color="auto" w:fill="FFFFFF"/>
            <w:vAlign w:val="center"/>
          </w:tcPr>
          <w:p>
            <w:pPr>
              <w:jc w:val="center"/>
            </w:pPr>
            <w:r>
              <w:rPr>
                <w:rFonts w:hint="eastAsia" w:ascii="宋体" w:hAnsi="宋体" w:cs="宋体"/>
              </w:rPr>
              <w:t xml:space="preserve">0.948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备注：在价值时点2024年06月24日</w:t>
      </w:r>
      <w:r>
        <w:rPr>
          <w:rFonts w:hint="eastAsia" w:ascii="宋体" w:hAnsi="宋体" w:cs="宋体"/>
          <w:sz w:val="24"/>
          <w:szCs w:val="24"/>
        </w:rPr>
        <w:t xml:space="preserve">，2024年06月份价格指数尚未公布，本次估价采用2024年05月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5395223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吴江区吴江经济开发区东方海悦花园61幢102室联排住宅标准房基准价格评估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太阳岛花苑69幢103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云水谣121幢01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乐湖苑141幢102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金域华府30号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225.82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281.57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456.68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248.72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401.88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0.8735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0.9219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13070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14930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12836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13764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13070</w:t>
            </w:r>
          </w:p>
        </w:tc>
        <w:tc>
          <w:tcPr>
            <w:tcW w:w="922" w:type="pct"/>
            <w:shd w:val="clear" w:color="auto" w:fill="auto"/>
            <w:vAlign w:val="center"/>
          </w:tcPr>
          <w:p>
            <w:pPr>
              <w:jc w:val="center"/>
              <w:rPr>
                <w:rFonts w:ascii="宋体" w:hAnsi="宋体" w:cs="宋体"/>
              </w:rPr>
            </w:pPr>
            <w:r>
              <w:rPr>
                <w:rFonts w:hint="eastAsia" w:ascii="宋体" w:hAnsi="宋体" w:cs="宋体"/>
              </w:rPr>
              <w:t xml:space="preserve">14410</w:t>
            </w:r>
          </w:p>
        </w:tc>
        <w:tc>
          <w:tcPr>
            <w:tcW w:w="922" w:type="pct"/>
            <w:shd w:val="clear" w:color="auto" w:fill="auto"/>
            <w:vAlign w:val="center"/>
          </w:tcPr>
          <w:p>
            <w:pPr>
              <w:jc w:val="center"/>
              <w:rPr>
                <w:rFonts w:ascii="宋体" w:hAnsi="宋体" w:cs="宋体"/>
              </w:rPr>
            </w:pPr>
            <w:r>
              <w:rPr>
                <w:rFonts w:hint="eastAsia" w:ascii="宋体" w:hAnsi="宋体" w:cs="宋体"/>
              </w:rPr>
              <w:t xml:space="preserve">15238</w:t>
            </w:r>
          </w:p>
        </w:tc>
        <w:tc>
          <w:tcPr>
            <w:tcW w:w="922" w:type="pct"/>
            <w:shd w:val="clear" w:color="auto" w:fill="auto"/>
            <w:vAlign w:val="center"/>
          </w:tcPr>
          <w:p>
            <w:pPr>
              <w:jc w:val="center"/>
              <w:rPr>
                <w:rFonts w:ascii="宋体" w:hAnsi="宋体" w:cs="宋体"/>
              </w:rPr>
            </w:pPr>
            <w:r>
              <w:rPr>
                <w:rFonts w:hint="eastAsia" w:ascii="宋体" w:hAnsi="宋体" w:cs="宋体"/>
              </w:rPr>
              <w:t xml:space="preserve">14930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102/116.77</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0.9821</w:t>
            </w:r>
          </w:p>
        </w:tc>
        <w:tc>
          <w:tcPr>
            <w:tcW w:w="922" w:type="pct"/>
            <w:shd w:val="clear" w:color="auto" w:fill="auto"/>
            <w:vAlign w:val="center"/>
          </w:tcPr>
          <w:p>
            <w:pPr>
              <w:jc w:val="center"/>
              <w:rPr>
                <w:rFonts w:ascii="宋体" w:hAnsi="宋体" w:cs="宋体"/>
              </w:rPr>
            </w:pPr>
            <w:r>
              <w:rPr>
                <w:rFonts w:hint="eastAsia" w:ascii="宋体" w:hAnsi="宋体" w:cs="宋体"/>
              </w:rPr>
              <w:t xml:space="preserve">0.861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0.9219</w:t>
            </w:r>
          </w:p>
        </w:tc>
        <w:tc>
          <w:tcPr>
            <w:tcW w:w="922" w:type="pct"/>
            <w:shd w:val="clear" w:color="auto" w:fill="auto"/>
            <w:vAlign w:val="center"/>
          </w:tcPr>
          <w:p>
            <w:pPr>
              <w:jc w:val="center"/>
              <w:rPr>
                <w:rFonts w:ascii="宋体" w:hAnsi="宋体" w:cs="宋体"/>
              </w:rPr>
            </w:pPr>
            <w:r>
              <w:rPr>
                <w:rFonts w:hint="eastAsia" w:ascii="宋体" w:hAnsi="宋体" w:cs="宋体"/>
              </w:rPr>
              <w:t xml:space="preserve">0.9219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12836</w:t>
            </w:r>
          </w:p>
        </w:tc>
        <w:tc>
          <w:tcPr>
            <w:tcW w:w="922" w:type="pct"/>
            <w:shd w:val="clear" w:color="auto" w:fill="auto"/>
            <w:vAlign w:val="center"/>
          </w:tcPr>
          <w:p>
            <w:pPr>
              <w:jc w:val="center"/>
              <w:rPr>
                <w:rFonts w:ascii="宋体" w:hAnsi="宋体" w:cs="宋体"/>
              </w:rPr>
            </w:pPr>
            <w:r>
              <w:rPr>
                <w:rFonts w:hint="eastAsia" w:ascii="宋体" w:hAnsi="宋体" w:cs="宋体"/>
              </w:rPr>
              <w:t xml:space="preserve">12407</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13764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12836</w:t>
            </w:r>
          </w:p>
        </w:tc>
        <w:tc>
          <w:tcPr>
            <w:tcW w:w="922" w:type="pct"/>
            <w:shd w:val="clear" w:color="auto" w:fill="auto"/>
            <w:vAlign w:val="center"/>
          </w:tcPr>
          <w:p>
            <w:pPr>
              <w:jc w:val="center"/>
              <w:rPr>
                <w:rFonts w:ascii="宋体" w:hAnsi="宋体" w:cs="宋体"/>
              </w:rPr>
            </w:pPr>
            <w:r>
              <w:rPr>
                <w:rFonts w:hint="eastAsia" w:ascii="宋体" w:hAnsi="宋体" w:cs="宋体"/>
              </w:rPr>
              <w:t xml:space="preserve">12407</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14048</w:t>
            </w:r>
          </w:p>
        </w:tc>
        <w:tc>
          <w:tcPr>
            <w:tcW w:w="922" w:type="pct"/>
            <w:shd w:val="clear" w:color="auto" w:fill="auto"/>
            <w:vAlign w:val="center"/>
          </w:tcPr>
          <w:p>
            <w:pPr>
              <w:jc w:val="center"/>
              <w:rPr>
                <w:rFonts w:ascii="宋体" w:hAnsi="宋体" w:cs="宋体"/>
              </w:rPr>
            </w:pPr>
            <w:r>
              <w:rPr>
                <w:rFonts w:hint="eastAsia" w:ascii="宋体" w:hAnsi="宋体" w:cs="宋体"/>
              </w:rPr>
              <w:t xml:space="preserve">13764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13264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F32050920240006205</w:t>
            </w:r>
          </w:p>
        </w:tc>
        <w:tc>
          <w:tcPr>
            <w:tcW w:w="1842" w:type="dxa"/>
            <w:vAlign w:val="center"/>
          </w:tcPr>
          <w:p>
            <w:pPr>
              <w:jc w:val="center"/>
            </w:pPr>
            <w:r>
              <w:rPr>
                <w:rFonts w:hint="eastAsia" w:ascii="宋体" w:hAnsi="宋体" w:cs="宋体"/>
              </w:rPr>
              <w:t xml:space="preserve">F32050920230035536</w:t>
            </w:r>
          </w:p>
        </w:tc>
        <w:tc>
          <w:tcPr>
            <w:tcW w:w="1843" w:type="dxa"/>
            <w:vAlign w:val="center"/>
          </w:tcPr>
          <w:p>
            <w:pPr>
              <w:jc w:val="center"/>
            </w:pPr>
            <w:r>
              <w:rPr>
                <w:rFonts w:hint="eastAsia" w:ascii="宋体" w:hAnsi="宋体" w:cs="宋体"/>
              </w:rPr>
              <w:t xml:space="preserve">s202311190002</w:t>
            </w:r>
          </w:p>
        </w:tc>
        <w:tc>
          <w:tcPr>
            <w:tcW w:w="1985" w:type="dxa"/>
            <w:vAlign w:val="center"/>
          </w:tcPr>
          <w:p>
            <w:pPr>
              <w:jc w:val="center"/>
            </w:pPr>
            <w:r>
              <w:rPr>
                <w:rFonts w:hint="eastAsia" w:ascii="宋体" w:hAnsi="宋体" w:cs="宋体"/>
              </w:rPr>
              <w:t xml:space="preserve">s202311200042</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太阳岛花苑69幢103</w:t>
            </w:r>
          </w:p>
        </w:tc>
        <w:tc>
          <w:tcPr>
            <w:tcW w:w="1842" w:type="dxa"/>
            <w:vAlign w:val="center"/>
          </w:tcPr>
          <w:p>
            <w:pPr>
              <w:jc w:val="center"/>
            </w:pPr>
            <w:r>
              <w:rPr>
                <w:rFonts w:hint="eastAsia" w:ascii="宋体" w:hAnsi="宋体" w:cs="宋体"/>
              </w:rPr>
              <w:t xml:space="preserve">云水谣121幢01</w:t>
            </w:r>
          </w:p>
        </w:tc>
        <w:tc>
          <w:tcPr>
            <w:tcW w:w="1843" w:type="dxa"/>
            <w:vAlign w:val="center"/>
          </w:tcPr>
          <w:p>
            <w:pPr>
              <w:jc w:val="center"/>
            </w:pPr>
            <w:r>
              <w:rPr>
                <w:rFonts w:hint="eastAsia" w:ascii="宋体" w:hAnsi="宋体" w:cs="宋体"/>
              </w:rPr>
              <w:t xml:space="preserve">乐湖苑141幢102</w:t>
            </w:r>
          </w:p>
        </w:tc>
        <w:tc>
          <w:tcPr>
            <w:tcW w:w="1985" w:type="dxa"/>
            <w:vAlign w:val="center"/>
          </w:tcPr>
          <w:p>
            <w:pPr>
              <w:jc w:val="center"/>
            </w:pPr>
            <w:r>
              <w:rPr>
                <w:rFonts w:hint="eastAsia" w:ascii="宋体" w:hAnsi="宋体" w:cs="宋体"/>
              </w:rPr>
              <w:t xml:space="preserve">金域华府30号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太阳岛花苑69幢103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云水谣121幢01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乐湖苑141幢102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金域华府30号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