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苏吴地评税字(2024)吴江第00848号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苏州市吴江区七都镇</w:t>
      </w:r>
      <w:r>
        <w:rPr>
          <w:rFonts w:ascii="宋体" w:hAnsi="宋体" w:eastAsia="宋体" w:asciiTheme="minorEastAsia" w:hAnsiTheme="minorEastAsia" w:eastAsiaTheme="minorEastAsia"/>
          <w:sz w:val="24"/>
          <w:szCs w:val="24"/>
        </w:rPr>
        <w:t xml:space="preserve">财富中心联排</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2024年06月30日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估价对象位于苏州市吴江区区域范围内的财富中心住宅小区联排存量房。该小区内的物业类型包括：</w:t>
      </w:r>
      <w:r>
        <w:rPr>
          <w:rFonts w:ascii="宋体"/>
          <w:sz w:val="24"/>
        </w:rPr>
        <w:t xml:space="preserve">普通多层、联排</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月修订版），结合估价人员现场查勘，选取财富中心</w:t>
      </w:r>
      <w:r>
        <w:rPr>
          <w:rFonts w:ascii="宋体"/>
          <w:sz w:val="24"/>
        </w:rPr>
        <w:t xml:space="preserve">7幢103室</w:t>
      </w:r>
      <w:r>
        <w:rPr>
          <w:rFonts w:hint="eastAsia" w:ascii="宋体"/>
          <w:sz w:val="24"/>
        </w:rPr>
        <w:t xml:space="preserve">为该小区</w:t>
      </w:r>
      <w:r>
        <w:rPr>
          <w:rFonts w:ascii="宋体"/>
          <w:sz w:val="24"/>
        </w:rPr>
        <w:t xml:space="preserve">钢混结构</w:t>
      </w:r>
      <w:r>
        <w:rPr>
          <w:rFonts w:hint="eastAsia" w:ascii="宋体"/>
          <w:sz w:val="24"/>
        </w:rPr>
        <w:t xml:space="preserve">联排的标准样本房，所在楼层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259.61</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2009</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2024年06月24日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2024年06月24日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陆仟伍佰柒拾捌元整</w:t>
      </w:r>
      <w:r>
        <w:rPr>
          <w:rFonts w:hint="eastAsia" w:ascii="宋体" w:hAnsi="宋体"/>
          <w:b/>
          <w:bCs/>
          <w:sz w:val="24"/>
        </w:rPr>
        <w:t xml:space="preserve">（RMB</w:t>
      </w:r>
      <w:r>
        <w:rPr>
          <w:rFonts w:ascii="宋体" w:hAnsi="宋体"/>
          <w:b/>
          <w:bCs/>
          <w:sz w:val="24"/>
        </w:rPr>
        <w:t xml:space="preserve"> 6578</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2024年06月30日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2024年06月30日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2024年06月30日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2024年06月30日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5.本报告作为整体使用时有效。若房地产市场无重大波动，本估价报告自出具日起一年内有效，从2024年06月30日至</w:t>
      </w:r>
      <w:r>
        <w:rPr>
          <w:rFonts w:ascii="宋体" w:hAnsi="宋体"/>
          <w:sz w:val="24"/>
        </w:rPr>
        <w:t xml:space="preserve">2025年06月29日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估价对象为财富中心</w:t>
      </w:r>
      <w:r>
        <w:rPr>
          <w:rFonts w:ascii="宋体" w:hAnsi="宋体"/>
          <w:sz w:val="24"/>
        </w:rPr>
        <w:t xml:space="preserve">7幢103室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沿湖北小区西侧</w:t>
      </w:r>
      <w:r>
        <w:rPr>
          <w:rFonts w:hint="eastAsia" w:hAnsi="宋体"/>
          <w:sz w:val="24"/>
        </w:rPr>
        <w:t xml:space="preserve">的“财富中心”住宅区内。</w:t>
      </w:r>
      <w:r>
        <w:rPr>
          <w:rFonts w:hint="eastAsia" w:ascii="宋体" w:hAnsi="宋体"/>
          <w:sz w:val="24"/>
        </w:rPr>
        <w:t xml:space="preserve">估价对象东至</w:t>
      </w:r>
      <w:r>
        <w:rPr>
          <w:rFonts w:ascii="宋体" w:hAnsi="宋体"/>
          <w:sz w:val="24"/>
          <w:szCs w:val="24"/>
        </w:rPr>
        <w:t xml:space="preserve">沿湖北小区</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南太湖大道</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道路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太湖</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259.61</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沿湖北小区西侧</w:t>
      </w:r>
      <w:r>
        <w:rPr>
          <w:rFonts w:hint="eastAsia" w:hAnsi="宋体"/>
          <w:sz w:val="24"/>
        </w:rPr>
        <w:t xml:space="preserve">的“财富中心”住宅区内。该小区内的物业类型包括：</w:t>
      </w:r>
      <w:r>
        <w:rPr>
          <w:rFonts w:hAnsi="宋体"/>
          <w:sz w:val="24"/>
        </w:rPr>
        <w:t xml:space="preserve">普通多层、联排</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财富中心</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“财富中心”小区</w:t>
            </w:r>
            <w:r>
              <w:rPr>
                <w:rFonts w:ascii="Cambria" w:hAnsi="宋体" w:eastAsia="黑体" w:cs="Times New Roman" w:asciiTheme="majorHAnsi" w:cstheme="majorBidi"/>
                <w:sz w:val="15"/>
                <w:szCs w:val="15"/>
              </w:rPr>
              <w:t xml:space="preserve">7幢</w:t>
            </w:r>
          </w:p>
        </w:tc>
      </w:tr>
    </w:tbl>
    <w:p>
      <w:pPr>
        <w:widowControl w:val="0"/>
        <w:spacing w:line="500" w:lineRule="exact"/>
        <w:ind w:firstLine="480" w:firstLineChars="200"/>
        <w:jc w:val="both"/>
        <w:rPr>
          <w:rFonts w:ascii="宋体" w:hAnsi="宋体"/>
          <w:kern w:val="2"/>
          <w:sz w:val="24"/>
        </w:rPr>
      </w:pP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p>
    <w:p>
      <w:pPr>
        <w:widowControl w:val="0"/>
        <w:spacing w:line="500" w:lineRule="exact"/>
        <w:ind w:firstLine="480" w:firstLineChars="200"/>
        <w:jc w:val="both"/>
        <w:rPr>
          <w:rFonts w:ascii="宋体" w:hAnsi="宋体"/>
          <w:kern w:val="2"/>
          <w:sz w:val="24"/>
        </w:rPr>
      </w:pP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r>
        <w:rPr>
          <w:rFonts w:hint="eastAsia" w:hAnsi="宋体"/>
          <w:sz w:val="24"/>
        </w:rPr>
        <w:t xml:space="preserve">由于财富中心幢数较少且大多为别墅，市场交易不活跃，各大网站均无法获取其交易信息。</w:t>
      </w: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该房屋为3层住宅楼的第1-3层，建于2009年，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259.61</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2024年06月24日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陆仟伍佰柒拾捌元整</w:t>
      </w:r>
      <w:r>
        <w:rPr>
          <w:rFonts w:hint="eastAsia" w:ascii="宋体" w:hAnsi="宋体"/>
          <w:b/>
          <w:bCs/>
          <w:sz w:val="24"/>
        </w:rPr>
        <w:t xml:space="preserve">（RMB </w:t>
      </w:r>
      <w:r>
        <w:rPr>
          <w:rFonts w:ascii="宋体" w:hAnsi="宋体"/>
          <w:b/>
          <w:bCs/>
          <w:sz w:val="24"/>
        </w:rPr>
        <w:t xml:space="preserve">6578</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170.76</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6578</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2024年06月30日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2024年06月30日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本次实地查勘期为2024年06月24日，并于当日完成现场查勘。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2024年06月24日</w:t>
      </w:r>
      <w:r>
        <w:rPr>
          <w:rFonts w:hint="eastAsia" w:ascii="宋体"/>
          <w:sz w:val="24"/>
        </w:rPr>
        <w:t xml:space="preserve">至2024年06月30日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估价对象为苏州市吴江区“财富中心”住宅区内的</w:t>
      </w:r>
      <w:r>
        <w:rPr>
          <w:rFonts w:hAnsi="宋体"/>
          <w:sz w:val="24"/>
        </w:rPr>
        <w:t xml:space="preserve">联排</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位于道路东侧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道路东侧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附近有743路、745路公交线路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华润万家</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中国农业银行（庙港支行）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庙港农贸市场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庙港实验小学</w:t>
      </w:r>
      <w:r>
        <w:rPr>
          <w:rFonts w:hint="eastAsia" w:ascii="宋体" w:hAnsi="宋体" w:eastAsia="宋体" w:asciiTheme="minorEastAsia" w:hAnsiTheme="minorEastAsia" w:eastAsiaTheme="minorEastAsia"/>
          <w:sz w:val="24"/>
        </w:rPr>
        <w:t xml:space="preserve">、</w:t>
      </w:r>
      <w:r>
        <w:rPr>
          <w:rFonts w:hAnsi="宋体"/>
          <w:sz w:val="24"/>
        </w:rPr>
        <w:t xml:space="preserve">吴江区庙港中学</w:t>
      </w:r>
      <w:r>
        <w:rPr>
          <w:rFonts w:hint="eastAsia" w:hAnsi="宋体"/>
          <w:sz w:val="24"/>
        </w:rPr>
        <w:t xml:space="preserve">、</w:t>
      </w:r>
      <w:r>
        <w:rPr>
          <w:rFonts w:hAnsi="宋体"/>
          <w:sz w:val="24"/>
        </w:rPr>
        <w:t xml:space="preserve">盛泽第二中学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沿湖北小区</w:t>
      </w:r>
      <w:r>
        <w:rPr>
          <w:rFonts w:hint="eastAsia" w:ascii="宋体" w:hAnsi="宋体"/>
          <w:sz w:val="24"/>
        </w:rPr>
        <w:t xml:space="preserve">，南至</w:t>
      </w:r>
      <w:r>
        <w:rPr>
          <w:rFonts w:ascii="宋体" w:hAnsi="宋体"/>
          <w:sz w:val="24"/>
        </w:rPr>
        <w:t xml:space="preserve">南太湖大道</w:t>
      </w:r>
      <w:r>
        <w:rPr>
          <w:rFonts w:hint="eastAsia" w:ascii="宋体" w:hAnsi="宋体"/>
          <w:sz w:val="24"/>
        </w:rPr>
        <w:t xml:space="preserve">，西至</w:t>
      </w:r>
      <w:r>
        <w:rPr>
          <w:rFonts w:ascii="宋体" w:hAnsi="宋体"/>
          <w:sz w:val="24"/>
        </w:rPr>
        <w:t xml:space="preserve">道路</w:t>
      </w:r>
      <w:r>
        <w:rPr>
          <w:rFonts w:hint="eastAsia" w:ascii="宋体" w:hAnsi="宋体"/>
          <w:sz w:val="24"/>
        </w:rPr>
        <w:t xml:space="preserve">，北至</w:t>
      </w:r>
      <w:r>
        <w:rPr>
          <w:rFonts w:ascii="宋体" w:hAnsi="宋体"/>
          <w:sz w:val="24"/>
        </w:rPr>
        <w:t xml:space="preserve">太湖</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估价对象为坐落于苏州市吴江区财富中心</w:t>
      </w:r>
      <w:r>
        <w:t xml:space="preserve"> </w:t>
      </w:r>
      <w:r>
        <w:rPr>
          <w:rFonts w:ascii="宋体" w:hAnsi="宋体"/>
          <w:kern w:val="2"/>
          <w:sz w:val="24"/>
        </w:rPr>
        <w:t xml:space="preserve">7幢103室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估价对象为联排建筑，建筑面积为</w:t>
      </w:r>
      <w:r>
        <w:rPr>
          <w:rFonts w:hAnsi="宋体"/>
          <w:sz w:val="24"/>
        </w:rPr>
        <w:t xml:space="preserve">259.61</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3层数、层高：估价对象位于总楼层为3层的第1-3层，层高约2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五室三厅四卫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全封闭管理，24小时有保安巡逻及监视系统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估价对象建成于2009年，基础较为稳固，未见沉降；墙面、地面、门窗等保养完好，综合保养成新度为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eastAsia="宋体" w:asciiTheme="minorEastAsia" w:hAnsiTheme="minorEastAsia" w:eastAsiaTheme="minorEastAsia"/>
          <w:sz w:val="24"/>
          <w:szCs w:val="24"/>
        </w:rPr>
        <w:t xml:space="preserve">由于财富中心幢数较少且大多为别墅，市场交易不活跃，各大网站均无法获取其交易信息。</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r>
              <w:rPr>
                <w:rFonts w:hint="eastAsia" w:ascii="宋体" w:hAnsi="宋体" w:eastAsia="宋体" w:asciiTheme="minorEastAsia" w:hAnsiTheme="minorEastAsia" w:eastAsiaTheme="minorEastAsia"/>
                <w:sz w:val="24"/>
                <w:szCs w:val="24"/>
              </w:rPr>
              <w:t xml:space="preserve">由于财富中心幢数较少且大多为别墅，市场交易不活跃，各大网站均无法获取其交易信息与一手房销售备案价格。</w: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苏州市吴江区财富中心</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F32050920240000113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F32050920230046949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s202401190153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s202402230169</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吴江区七都镇财富中心7幢103室联排住宅标准房基准价格评估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太阳岛花苑145幢102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富源花园10幢102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皓月轩11幢101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富源花园7幢107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259.61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240.52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241.03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249.32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249.3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东边户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一等（10）</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2024年06月24日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2024年05月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6486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6223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7140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7220</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指数，吴江区2023年06月至2024年05月住宅月度价格指数表为：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2023年09月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2024年05月24日</w:t>
            </w:r>
          </w:p>
        </w:tc>
        <w:tc>
          <w:tcPr>
            <w:tcW w:w="778" w:type="pct"/>
            <w:shd w:val="clear" w:color="auto" w:fill="FFFFFF"/>
            <w:vAlign w:val="center"/>
          </w:tcPr>
          <w:p>
            <w:pPr>
              <w:jc w:val="center"/>
            </w:pPr>
            <w:r>
              <w:rPr>
                <w:rFonts w:hint="eastAsia" w:ascii="宋体" w:hAnsi="宋体" w:cs="宋体"/>
              </w:rPr>
              <w:t xml:space="preserve">2024年01月</w:t>
            </w:r>
          </w:p>
        </w:tc>
        <w:tc>
          <w:tcPr>
            <w:tcW w:w="779"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2024年05月</w:t>
            </w:r>
          </w:p>
        </w:tc>
        <w:tc>
          <w:tcPr>
            <w:tcW w:w="779" w:type="pct"/>
            <w:shd w:val="clear" w:color="auto" w:fill="FFFFFF"/>
            <w:vAlign w:val="center"/>
          </w:tcPr>
          <w:p>
            <w:pPr>
              <w:jc w:val="center"/>
            </w:pPr>
            <w:r>
              <w:rPr>
                <w:rFonts w:hint="eastAsia" w:ascii="宋体" w:hAnsi="宋体" w:cs="宋体"/>
              </w:rPr>
              <w:t xml:space="preserve">2024年03月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6486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6223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7140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7220</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1939</w:t>
            </w:r>
          </w:p>
        </w:tc>
        <w:tc>
          <w:tcPr>
            <w:tcW w:w="778" w:type="pct"/>
            <w:shd w:val="clear" w:color="auto" w:fill="FFFFFF"/>
            <w:vAlign w:val="center"/>
          </w:tcPr>
          <w:p>
            <w:pPr>
              <w:jc w:val="center"/>
            </w:pPr>
            <w:r>
              <w:rPr>
                <w:rFonts w:hint="eastAsia" w:ascii="宋体" w:hAnsi="宋体" w:cs="宋体"/>
              </w:rPr>
              <w:t xml:space="preserve">2017</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1939</w:t>
            </w:r>
          </w:p>
        </w:tc>
        <w:tc>
          <w:tcPr>
            <w:tcW w:w="779" w:type="pct"/>
            <w:shd w:val="clear" w:color="auto" w:fill="FFFFFF"/>
            <w:vAlign w:val="center"/>
          </w:tcPr>
          <w:p>
            <w:pPr>
              <w:jc w:val="center"/>
            </w:pPr>
            <w:r>
              <w:rPr>
                <w:rFonts w:hint="eastAsia" w:ascii="宋体" w:hAnsi="宋体" w:cs="宋体"/>
              </w:rPr>
              <w:t xml:space="preserve">1971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1939/1939</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1939/2017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1939/2046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1939/1939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1939/1971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0.961</w:t>
            </w:r>
          </w:p>
        </w:tc>
        <w:tc>
          <w:tcPr>
            <w:tcW w:w="779" w:type="pct"/>
            <w:shd w:val="clear" w:color="auto" w:fill="FFFFFF"/>
            <w:vAlign w:val="center"/>
          </w:tcPr>
          <w:p>
            <w:pPr>
              <w:jc w:val="center"/>
            </w:pPr>
            <w:r>
              <w:rPr>
                <w:rFonts w:hint="eastAsia" w:ascii="宋体" w:hAnsi="宋体" w:cs="宋体"/>
              </w:rPr>
              <w:t xml:space="preserve">0.948</w:t>
            </w:r>
          </w:p>
        </w:tc>
        <w:tc>
          <w:tcPr>
            <w:tcW w:w="779" w:type="pct"/>
            <w:shd w:val="clear" w:color="auto" w:fill="FFFFFF"/>
            <w:vAlign w:val="center"/>
          </w:tcPr>
          <w:p>
            <w:pPr>
              <w:jc w:val="center"/>
            </w:pPr>
            <w:r>
              <w:rPr>
                <w:rFonts w:hint="eastAsia" w:ascii="宋体" w:hAnsi="宋体" w:cs="宋体"/>
              </w:rPr>
              <w:t xml:space="preserve">1</w:t>
            </w:r>
          </w:p>
        </w:tc>
        <w:tc>
          <w:tcPr>
            <w:tcW w:w="779" w:type="pct"/>
            <w:shd w:val="clear" w:color="auto" w:fill="FFFFFF"/>
            <w:vAlign w:val="center"/>
          </w:tcPr>
          <w:p>
            <w:pPr>
              <w:jc w:val="center"/>
            </w:pPr>
            <w:r>
              <w:rPr>
                <w:rFonts w:hint="eastAsia" w:ascii="宋体" w:hAnsi="宋体" w:cs="宋体"/>
              </w:rPr>
              <w:t xml:space="preserve">0.984</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备注：在价值时点2024年06月24日</w:t>
      </w:r>
      <w:r>
        <w:rPr>
          <w:rFonts w:hint="eastAsia" w:ascii="宋体" w:hAnsi="宋体" w:cs="宋体"/>
          <w:sz w:val="24"/>
          <w:szCs w:val="24"/>
        </w:rPr>
        <w:t xml:space="preserve">，2024年06月份价格指数尚未公布，本次估价采用2024年05月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420702436"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吴江区七都镇财富中心7幢103室联排住宅标准房基准价格评估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太阳岛花苑145幢102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富源花园10幢102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皓月轩11幢101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富源花园7幢107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259.61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240.52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241.03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249.32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249.3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116.77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0.9434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0.125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1.0249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0.9424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0.9985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6486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6223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7140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7220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6112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6046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7044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7109</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6486</w:t>
            </w:r>
          </w:p>
        </w:tc>
        <w:tc>
          <w:tcPr>
            <w:tcW w:w="922" w:type="pct"/>
            <w:shd w:val="clear" w:color="auto" w:fill="auto"/>
            <w:vAlign w:val="center"/>
          </w:tcPr>
          <w:p>
            <w:pPr>
              <w:jc w:val="center"/>
              <w:rPr>
                <w:rFonts w:ascii="宋体" w:hAnsi="宋体" w:cs="宋体"/>
              </w:rPr>
            </w:pPr>
            <w:r>
              <w:rPr>
                <w:rFonts w:hint="eastAsia" w:ascii="宋体" w:hAnsi="宋体" w:cs="宋体"/>
              </w:rPr>
              <w:t xml:space="preserve">6223</w:t>
            </w:r>
          </w:p>
        </w:tc>
        <w:tc>
          <w:tcPr>
            <w:tcW w:w="922" w:type="pct"/>
            <w:shd w:val="clear" w:color="auto" w:fill="auto"/>
            <w:vAlign w:val="center"/>
          </w:tcPr>
          <w:p>
            <w:pPr>
              <w:jc w:val="center"/>
              <w:rPr>
                <w:rFonts w:ascii="宋体" w:hAnsi="宋体" w:cs="宋体"/>
              </w:rPr>
            </w:pPr>
            <w:r>
              <w:rPr>
                <w:rFonts w:hint="eastAsia" w:ascii="宋体" w:hAnsi="宋体" w:cs="宋体"/>
              </w:rPr>
              <w:t xml:space="preserve">7140</w:t>
            </w:r>
          </w:p>
        </w:tc>
        <w:tc>
          <w:tcPr>
            <w:tcW w:w="922" w:type="pct"/>
            <w:shd w:val="clear" w:color="auto" w:fill="auto"/>
            <w:vAlign w:val="center"/>
          </w:tcPr>
          <w:p>
            <w:pPr>
              <w:jc w:val="center"/>
              <w:rPr>
                <w:rFonts w:ascii="宋体" w:hAnsi="宋体" w:cs="宋体"/>
              </w:rPr>
            </w:pPr>
            <w:r>
              <w:rPr>
                <w:rFonts w:hint="eastAsia" w:ascii="宋体" w:hAnsi="宋体" w:cs="宋体"/>
              </w:rPr>
              <w:t xml:space="preserve">7220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0.961</w:t>
            </w:r>
          </w:p>
        </w:tc>
        <w:tc>
          <w:tcPr>
            <w:tcW w:w="922" w:type="pct"/>
            <w:shd w:val="clear" w:color="auto" w:fill="auto"/>
            <w:vAlign w:val="center"/>
          </w:tcPr>
          <w:p>
            <w:pPr>
              <w:jc w:val="center"/>
              <w:rPr>
                <w:rFonts w:ascii="宋体" w:hAnsi="宋体" w:cs="宋体"/>
              </w:rPr>
            </w:pPr>
            <w:r>
              <w:rPr>
                <w:rFonts w:hint="eastAsia" w:ascii="宋体" w:hAnsi="宋体" w:cs="宋体"/>
              </w:rPr>
              <w:t xml:space="preserve">0.948</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0.984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110.16/116.77</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110.16/111.26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103/104</w:t>
            </w:r>
          </w:p>
        </w:tc>
        <w:tc>
          <w:tcPr>
            <w:tcW w:w="922" w:type="pct"/>
            <w:shd w:val="clear" w:color="auto" w:fill="auto"/>
            <w:vAlign w:val="center"/>
          </w:tcPr>
          <w:p>
            <w:pPr>
              <w:jc w:val="center"/>
              <w:rPr>
                <w:rFonts w:ascii="宋体" w:hAnsi="宋体" w:cs="宋体"/>
              </w:rPr>
            </w:pPr>
            <w:r>
              <w:rPr>
                <w:rFonts w:hint="eastAsia" w:ascii="宋体" w:hAnsi="宋体" w:cs="宋体"/>
              </w:rPr>
              <w:t xml:space="preserve">103/100.5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103/98.5</w:t>
            </w:r>
          </w:p>
        </w:tc>
        <w:tc>
          <w:tcPr>
            <w:tcW w:w="922" w:type="pct"/>
            <w:shd w:val="clear" w:color="auto" w:fill="auto"/>
            <w:vAlign w:val="center"/>
          </w:tcPr>
          <w:p>
            <w:pPr>
              <w:jc w:val="center"/>
              <w:rPr>
                <w:rFonts w:ascii="宋体" w:hAnsi="宋体" w:cs="宋体"/>
              </w:rPr>
            </w:pPr>
            <w:r>
              <w:rPr>
                <w:rFonts w:hint="eastAsia" w:ascii="宋体" w:hAnsi="宋体" w:cs="宋体"/>
              </w:rPr>
              <w:t xml:space="preserve">103/100.5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0.9424</w:t>
            </w:r>
          </w:p>
        </w:tc>
        <w:tc>
          <w:tcPr>
            <w:tcW w:w="922" w:type="pct"/>
            <w:shd w:val="clear" w:color="auto" w:fill="auto"/>
            <w:vAlign w:val="center"/>
          </w:tcPr>
          <w:p>
            <w:pPr>
              <w:jc w:val="center"/>
              <w:rPr>
                <w:rFonts w:ascii="宋体" w:hAnsi="宋体" w:cs="宋体"/>
              </w:rPr>
            </w:pPr>
            <w:r>
              <w:rPr>
                <w:rFonts w:hint="eastAsia" w:ascii="宋体" w:hAnsi="宋体" w:cs="宋体"/>
              </w:rPr>
              <w:t xml:space="preserve">0.9716</w:t>
            </w:r>
          </w:p>
        </w:tc>
        <w:tc>
          <w:tcPr>
            <w:tcW w:w="922" w:type="pct"/>
            <w:shd w:val="clear" w:color="auto" w:fill="auto"/>
            <w:vAlign w:val="center"/>
          </w:tcPr>
          <w:p>
            <w:pPr>
              <w:jc w:val="center"/>
              <w:rPr>
                <w:rFonts w:ascii="宋体" w:hAnsi="宋体" w:cs="宋体"/>
              </w:rPr>
            </w:pPr>
            <w:r>
              <w:rPr>
                <w:rFonts w:hint="eastAsia" w:ascii="宋体" w:hAnsi="宋体" w:cs="宋体"/>
              </w:rPr>
              <w:t xml:space="preserve">0.9865</w:t>
            </w:r>
          </w:p>
        </w:tc>
        <w:tc>
          <w:tcPr>
            <w:tcW w:w="922" w:type="pct"/>
            <w:shd w:val="clear" w:color="auto" w:fill="auto"/>
            <w:vAlign w:val="center"/>
          </w:tcPr>
          <w:p>
            <w:pPr>
              <w:jc w:val="center"/>
              <w:rPr>
                <w:rFonts w:ascii="宋体" w:hAnsi="宋体" w:cs="宋体"/>
              </w:rPr>
            </w:pPr>
            <w:r>
              <w:rPr>
                <w:rFonts w:hint="eastAsia" w:ascii="宋体" w:hAnsi="宋体" w:cs="宋体"/>
              </w:rPr>
              <w:t xml:space="preserve">0.9985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6112</w:t>
            </w:r>
          </w:p>
        </w:tc>
        <w:tc>
          <w:tcPr>
            <w:tcW w:w="922" w:type="pct"/>
            <w:shd w:val="clear" w:color="auto" w:fill="auto"/>
            <w:vAlign w:val="center"/>
          </w:tcPr>
          <w:p>
            <w:pPr>
              <w:jc w:val="center"/>
              <w:rPr>
                <w:rFonts w:ascii="宋体" w:hAnsi="宋体" w:cs="宋体"/>
              </w:rPr>
            </w:pPr>
            <w:r>
              <w:rPr>
                <w:rFonts w:hint="eastAsia" w:ascii="宋体" w:hAnsi="宋体" w:cs="宋体"/>
              </w:rPr>
              <w:t xml:space="preserve">6046</w:t>
            </w:r>
          </w:p>
        </w:tc>
        <w:tc>
          <w:tcPr>
            <w:tcW w:w="922" w:type="pct"/>
            <w:shd w:val="clear" w:color="auto" w:fill="auto"/>
            <w:vAlign w:val="center"/>
          </w:tcPr>
          <w:p>
            <w:pPr>
              <w:jc w:val="center"/>
              <w:rPr>
                <w:rFonts w:ascii="宋体" w:hAnsi="宋体" w:cs="宋体"/>
              </w:rPr>
            </w:pPr>
            <w:r>
              <w:rPr>
                <w:rFonts w:hint="eastAsia" w:ascii="宋体" w:hAnsi="宋体" w:cs="宋体"/>
              </w:rPr>
              <w:t xml:space="preserve">7044</w:t>
            </w:r>
          </w:p>
        </w:tc>
        <w:tc>
          <w:tcPr>
            <w:tcW w:w="922" w:type="pct"/>
            <w:shd w:val="clear" w:color="auto" w:fill="auto"/>
            <w:vAlign w:val="center"/>
          </w:tcPr>
          <w:p>
            <w:pPr>
              <w:jc w:val="center"/>
              <w:rPr>
                <w:rFonts w:ascii="宋体" w:hAnsi="宋体" w:cs="宋体"/>
              </w:rPr>
            </w:pPr>
            <w:r>
              <w:rPr>
                <w:rFonts w:hint="eastAsia" w:ascii="宋体" w:hAnsi="宋体" w:cs="宋体"/>
              </w:rPr>
              <w:t xml:space="preserve">7209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6112</w:t>
            </w:r>
          </w:p>
        </w:tc>
        <w:tc>
          <w:tcPr>
            <w:tcW w:w="922" w:type="pct"/>
            <w:shd w:val="clear" w:color="auto" w:fill="auto"/>
            <w:vAlign w:val="center"/>
          </w:tcPr>
          <w:p>
            <w:pPr>
              <w:jc w:val="center"/>
              <w:rPr>
                <w:rFonts w:ascii="宋体" w:hAnsi="宋体" w:cs="宋体"/>
              </w:rPr>
            </w:pPr>
            <w:r>
              <w:rPr>
                <w:rFonts w:hint="eastAsia" w:ascii="宋体" w:hAnsi="宋体" w:cs="宋体"/>
              </w:rPr>
              <w:t xml:space="preserve">6046</w:t>
            </w:r>
          </w:p>
        </w:tc>
        <w:tc>
          <w:tcPr>
            <w:tcW w:w="922" w:type="pct"/>
            <w:shd w:val="clear" w:color="auto" w:fill="auto"/>
            <w:vAlign w:val="center"/>
          </w:tcPr>
          <w:p>
            <w:pPr>
              <w:jc w:val="center"/>
              <w:rPr>
                <w:rFonts w:ascii="宋体" w:hAnsi="宋体" w:cs="宋体"/>
              </w:rPr>
            </w:pPr>
            <w:r>
              <w:rPr>
                <w:rFonts w:hint="eastAsia" w:ascii="宋体" w:hAnsi="宋体" w:cs="宋体"/>
              </w:rPr>
              <w:t xml:space="preserve">7044</w:t>
            </w:r>
          </w:p>
        </w:tc>
        <w:tc>
          <w:tcPr>
            <w:tcW w:w="922" w:type="pct"/>
            <w:shd w:val="clear" w:color="auto" w:fill="auto"/>
            <w:vAlign w:val="center"/>
          </w:tcPr>
          <w:p>
            <w:pPr>
              <w:jc w:val="center"/>
              <w:rPr>
                <w:rFonts w:ascii="宋体" w:hAnsi="宋体" w:cs="宋体"/>
              </w:rPr>
            </w:pPr>
            <w:r>
              <w:rPr>
                <w:rFonts w:hint="eastAsia" w:ascii="宋体" w:hAnsi="宋体" w:cs="宋体"/>
              </w:rPr>
              <w:t xml:space="preserve">7109</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6578</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F32050920240000113</w:t>
            </w:r>
          </w:p>
        </w:tc>
        <w:tc>
          <w:tcPr>
            <w:tcW w:w="1842" w:type="dxa"/>
            <w:vAlign w:val="center"/>
          </w:tcPr>
          <w:p>
            <w:pPr>
              <w:jc w:val="center"/>
            </w:pPr>
            <w:r>
              <w:rPr>
                <w:rFonts w:hint="eastAsia" w:ascii="宋体" w:hAnsi="宋体" w:cs="宋体"/>
              </w:rPr>
              <w:t xml:space="preserve">F32050920230046949</w:t>
            </w:r>
          </w:p>
        </w:tc>
        <w:tc>
          <w:tcPr>
            <w:tcW w:w="1843" w:type="dxa"/>
            <w:vAlign w:val="center"/>
          </w:tcPr>
          <w:p>
            <w:pPr>
              <w:jc w:val="center"/>
            </w:pPr>
            <w:r>
              <w:rPr>
                <w:rFonts w:hint="eastAsia" w:ascii="宋体" w:hAnsi="宋体" w:cs="宋体"/>
              </w:rPr>
              <w:t xml:space="preserve">s202401190153</w:t>
            </w:r>
          </w:p>
        </w:tc>
        <w:tc>
          <w:tcPr>
            <w:tcW w:w="1985" w:type="dxa"/>
            <w:vAlign w:val="center"/>
          </w:tcPr>
          <w:p>
            <w:pPr>
              <w:jc w:val="center"/>
            </w:pPr>
            <w:r>
              <w:rPr>
                <w:rFonts w:hint="eastAsia" w:ascii="宋体" w:hAnsi="宋体" w:cs="宋体"/>
              </w:rPr>
              <w:t xml:space="preserve">s202402230169</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太阳岛花苑145幢102</w:t>
            </w:r>
          </w:p>
        </w:tc>
        <w:tc>
          <w:tcPr>
            <w:tcW w:w="1842" w:type="dxa"/>
            <w:vAlign w:val="center"/>
          </w:tcPr>
          <w:p>
            <w:pPr>
              <w:jc w:val="center"/>
            </w:pPr>
            <w:r>
              <w:rPr>
                <w:rFonts w:hint="eastAsia" w:ascii="宋体" w:hAnsi="宋体" w:cs="宋体"/>
              </w:rPr>
              <w:t xml:space="preserve">富源花园10幢102</w:t>
            </w:r>
          </w:p>
        </w:tc>
        <w:tc>
          <w:tcPr>
            <w:tcW w:w="1843" w:type="dxa"/>
            <w:vAlign w:val="center"/>
          </w:tcPr>
          <w:p>
            <w:pPr>
              <w:jc w:val="center"/>
            </w:pPr>
            <w:r>
              <w:rPr>
                <w:rFonts w:hint="eastAsia" w:ascii="宋体" w:hAnsi="宋体" w:cs="宋体"/>
              </w:rPr>
              <w:t xml:space="preserve">皓月轩11幢101</w:t>
            </w:r>
          </w:p>
        </w:tc>
        <w:tc>
          <w:tcPr>
            <w:tcW w:w="1985" w:type="dxa"/>
            <w:vAlign w:val="center"/>
          </w:tcPr>
          <w:p>
            <w:pPr>
              <w:jc w:val="center"/>
            </w:pPr>
            <w:r>
              <w:rPr>
                <w:rFonts w:hint="eastAsia" w:ascii="宋体" w:hAnsi="宋体" w:cs="宋体"/>
              </w:rPr>
              <w:t xml:space="preserve">富源花园7幢107</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太阳岛花苑145幢102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富源花园10幢102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皓月轩11幢101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富源花园7幢107</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pn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