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苏吴地评税字(2024)吴江第00934号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美岸青城普通多层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2024年08月22日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估价对象位于苏州市吴江区区域范围内的美岸青城住宅小区普通多层存量房。该小区内的物业类型包括：</w:t>
      </w:r>
      <w:r>
        <w:rPr>
          <w:rFonts w:ascii="宋体"/>
          <w:sz w:val="24"/>
        </w:rPr>
        <w:t xml:space="preserve">普通多层、小高层、高层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月修订版），结合估价人员现场查勘，选取美岸青城</w:t>
      </w:r>
      <w:r>
        <w:rPr>
          <w:rFonts w:ascii="宋体"/>
          <w:sz w:val="24"/>
        </w:rPr>
        <w:t xml:space="preserve">32幢102</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102.52</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2075年08月07日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捌仟肆佰零捌元整</w:t>
      </w:r>
      <w:r>
        <w:rPr>
          <w:rFonts w:hint="eastAsia" w:ascii="宋体" w:hAnsi="宋体"/>
          <w:b/>
          <w:bCs/>
          <w:sz w:val="24"/>
        </w:rPr>
        <w:t xml:space="preserve">（RMB</w:t>
      </w:r>
      <w:r>
        <w:rPr>
          <w:rFonts w:ascii="宋体" w:hAnsi="宋体"/>
          <w:b/>
          <w:bCs/>
          <w:sz w:val="24"/>
        </w:rPr>
        <w:t xml:space="preserve"> 8408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2024年08月22日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5.本报告作为整体使用时有效。若房地产市场无重大波动，本估价报告自出具日起一年内有效，从2024年08月22日至</w:t>
      </w:r>
      <w:r>
        <w:rPr>
          <w:rFonts w:ascii="宋体" w:hAnsi="宋体"/>
          <w:sz w:val="24"/>
        </w:rPr>
        <w:t xml:space="preserve">2025年08月21日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估价对象为美岸青城</w:t>
      </w:r>
      <w:r>
        <w:rPr>
          <w:rFonts w:ascii="宋体" w:hAnsi="宋体"/>
          <w:sz w:val="24"/>
        </w:rPr>
        <w:t xml:space="preserve">32幢102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的“美岸青城”住宅区内。</w:t>
      </w:r>
      <w:r>
        <w:rPr>
          <w:rFonts w:hint="eastAsia" w:ascii="宋体" w:hAnsi="宋体"/>
          <w:sz w:val="24"/>
        </w:rPr>
        <w:t xml:space="preserve">估价对象东至</w:t>
      </w:r>
      <w:r>
        <w:rPr>
          <w:rFonts w:ascii="宋体" w:hAnsi="宋体"/>
          <w:sz w:val="24"/>
          <w:szCs w:val="24"/>
        </w:rPr>
        <w:t xml:space="preserve">运东大道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运河大道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三兴路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江兴东路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102.52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的“美岸青城”住宅区内。该小区内的物业类型包括：</w:t>
      </w:r>
      <w:r>
        <w:rPr>
          <w:rFonts w:hAnsi="宋体"/>
          <w:sz w:val="24"/>
        </w:rPr>
        <w:t xml:space="preserve">普通多层、小高层、高层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美岸青城</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“美岸青城”小区</w:t>
            </w:r>
            <w:r>
              <w:rPr>
                <w:rFonts w:ascii="Cambria" w:hAnsi="宋体" w:eastAsia="黑体" w:cs="Times New Roman" w:asciiTheme="majorHAnsi" w:cstheme="majorBidi"/>
                <w:sz w:val="15"/>
                <w:szCs w:val="15"/>
              </w:rPr>
              <w:t xml:space="preserve">32幢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由于美岸青城市场交易不活跃，片区内可选案例较少，因此选择的案例A，B，C，D，距离在3公里以外。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美岸青城住宅2024年8月挂牌均价11862元/平方米，较年初持平。待评估二手房住宅近11个月（2023年10月-2024年08月）挂牌均价波动幅度较小，价格维持在11862-14209元/平方米之间。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均价说明：美岸青城小区物业类型包括：普通多层、小高层、高层,房源均价为:11862元/平方米，包含毛坯价值以及附带装修价值。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该房屋为5层住宅楼的第1层，建于2011年，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102.52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2075年08月07日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捌仟肆佰零捌元整</w:t>
      </w:r>
      <w:r>
        <w:rPr>
          <w:rFonts w:hint="eastAsia" w:ascii="宋体" w:hAnsi="宋体"/>
          <w:b/>
          <w:bCs/>
          <w:sz w:val="24"/>
        </w:rPr>
        <w:t xml:space="preserve">（RMB </w:t>
      </w:r>
      <w:r>
        <w:rPr>
          <w:rFonts w:ascii="宋体" w:hAnsi="宋体"/>
          <w:b/>
          <w:bCs/>
          <w:sz w:val="24"/>
        </w:rPr>
        <w:t xml:space="preserve">8408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86.19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8408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2024年08月08日</w:t>
      </w:r>
      <w:r>
        <w:rPr>
          <w:rFonts w:hint="eastAsia" w:ascii="宋体"/>
          <w:sz w:val="24"/>
        </w:rPr>
        <w:t xml:space="preserve">至2024年08月22日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估价对象为苏州市吴江区“美岸青城”住宅区内的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位于三兴路东侧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三兴路东侧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附近有702路、713路等多条公交线路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万客隆生活超市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三里桥农贸市场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爱儿法幼儿园</w:t>
      </w:r>
      <w:r>
        <w:rPr>
          <w:rFonts w:hint="eastAsia" w:ascii="宋体" w:hAnsi="宋体" w:eastAsia="宋体" w:asciiTheme="minorEastAsia" w:hAnsiTheme="minorEastAsia" w:eastAsiaTheme="minorEastAsia"/>
          <w:sz w:val="24"/>
        </w:rPr>
        <w:t xml:space="preserve">、</w:t>
      </w:r>
      <w:r>
        <w:rPr>
          <w:rFonts w:hAnsi="宋体"/>
          <w:sz w:val="24"/>
        </w:rPr>
        <w:t xml:space="preserve">北门小学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2075年08月07日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运东大道</w:t>
      </w:r>
      <w:r>
        <w:rPr>
          <w:rFonts w:hint="eastAsia" w:ascii="宋体" w:hAnsi="宋体"/>
          <w:sz w:val="24"/>
        </w:rPr>
        <w:t xml:space="preserve">，南至</w:t>
      </w:r>
      <w:r>
        <w:rPr>
          <w:rFonts w:ascii="宋体" w:hAnsi="宋体"/>
          <w:sz w:val="24"/>
        </w:rPr>
        <w:t xml:space="preserve">运河大道</w:t>
      </w:r>
      <w:r>
        <w:rPr>
          <w:rFonts w:hint="eastAsia" w:ascii="宋体" w:hAnsi="宋体"/>
          <w:sz w:val="24"/>
        </w:rPr>
        <w:t xml:space="preserve">，西至</w:t>
      </w:r>
      <w:r>
        <w:rPr>
          <w:rFonts w:ascii="宋体" w:hAnsi="宋体"/>
          <w:sz w:val="24"/>
        </w:rPr>
        <w:t xml:space="preserve">三兴路</w:t>
      </w:r>
      <w:r>
        <w:rPr>
          <w:rFonts w:hint="eastAsia" w:ascii="宋体" w:hAnsi="宋体"/>
          <w:sz w:val="24"/>
        </w:rPr>
        <w:t xml:space="preserve">，北至</w:t>
      </w:r>
      <w:r>
        <w:rPr>
          <w:rFonts w:ascii="宋体" w:hAnsi="宋体"/>
          <w:sz w:val="24"/>
        </w:rPr>
        <w:t xml:space="preserve">江兴东路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估价对象为坐落于苏州市吴江区美岸青城</w:t>
      </w:r>
      <w:r>
        <w:t xml:space="preserve"> </w:t>
      </w:r>
      <w:r>
        <w:rPr>
          <w:rFonts w:ascii="宋体" w:hAnsi="宋体"/>
          <w:kern w:val="2"/>
          <w:sz w:val="24"/>
        </w:rPr>
        <w:t xml:space="preserve">32幢102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102.52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美岸青城住宅2024年8月挂牌均价11862元/平方米，较年初持平。待评估二手房住宅近11个月（2023年10月-2024年08月）挂牌均价波动幅度较小，价格维持在11862-14209元/平方米之间。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苏州市吴江区美岸青城</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F32050920240001850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F32050920240020610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s202309260154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s202403060026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吴江区吴江经济开发区美岸青城32幢102普通多层住宅标准房基准价格评估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山湖嘉晖苑31幢604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众盛阳光嘉园27幢504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山湖天香苑18幢502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教师新村7幢203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8179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指数，吴江区2023年08月至2024年07月住宅月度价格指数表为：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2024年07月08日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8493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9292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8668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8179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1917</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0.937</w:t>
            </w:r>
          </w:p>
        </w:tc>
        <w:tc>
          <w:tcPr>
            <w:tcW w:w="779" w:type="pct"/>
            <w:shd w:val="clear" w:color="auto" w:fill="FFFFFF"/>
            <w:vAlign w:val="center"/>
          </w:tcPr>
          <w:p>
            <w:pPr>
              <w:jc w:val="center"/>
            </w:pPr>
            <w:r>
              <w:rPr>
                <w:rFonts w:hint="eastAsia" w:ascii="宋体" w:hAnsi="宋体" w:cs="宋体"/>
              </w:rPr>
              <w:t xml:space="preserve">0.984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备注：在价值时点2024年08月08日</w:t>
      </w:r>
      <w:r>
        <w:rPr>
          <w:rFonts w:hint="eastAsia" w:ascii="宋体" w:hAnsi="宋体" w:cs="宋体"/>
          <w:sz w:val="24"/>
          <w:szCs w:val="24"/>
        </w:rPr>
        <w:t xml:space="preserve">，2024年08月份价格指数尚未公布，本次估价采用2024年07月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9515213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吴江区吴江经济开发区美岸青城32幢102普通多层住宅标准房基准价格评估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山湖嘉晖苑31幢604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众盛阳光嘉园27幢504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山湖天香苑18幢502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教师新村7幢203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92.29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8134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8493</w:t>
            </w:r>
          </w:p>
        </w:tc>
        <w:tc>
          <w:tcPr>
            <w:tcW w:w="922" w:type="pct"/>
            <w:shd w:val="clear" w:color="auto" w:fill="auto"/>
            <w:vAlign w:val="center"/>
          </w:tcPr>
          <w:p>
            <w:pPr>
              <w:jc w:val="center"/>
              <w:rPr>
                <w:rFonts w:ascii="宋体" w:hAnsi="宋体" w:cs="宋体"/>
              </w:rPr>
            </w:pPr>
            <w:r>
              <w:rPr>
                <w:rFonts w:hint="eastAsia" w:ascii="宋体" w:hAnsi="宋体" w:cs="宋体"/>
              </w:rPr>
              <w:t xml:space="preserve">9292</w:t>
            </w:r>
          </w:p>
        </w:tc>
        <w:tc>
          <w:tcPr>
            <w:tcW w:w="922" w:type="pct"/>
            <w:shd w:val="clear" w:color="auto" w:fill="auto"/>
            <w:vAlign w:val="center"/>
          </w:tcPr>
          <w:p>
            <w:pPr>
              <w:jc w:val="center"/>
              <w:rPr>
                <w:rFonts w:ascii="宋体" w:hAnsi="宋体" w:cs="宋体"/>
              </w:rPr>
            </w:pPr>
            <w:r>
              <w:rPr>
                <w:rFonts w:hint="eastAsia" w:ascii="宋体" w:hAnsi="宋体" w:cs="宋体"/>
              </w:rPr>
              <w:t xml:space="preserve">8668</w:t>
            </w:r>
          </w:p>
        </w:tc>
        <w:tc>
          <w:tcPr>
            <w:tcW w:w="922" w:type="pct"/>
            <w:shd w:val="clear" w:color="auto" w:fill="auto"/>
            <w:vAlign w:val="center"/>
          </w:tcPr>
          <w:p>
            <w:pPr>
              <w:jc w:val="center"/>
              <w:rPr>
                <w:rFonts w:ascii="宋体" w:hAnsi="宋体" w:cs="宋体"/>
              </w:rPr>
            </w:pPr>
            <w:r>
              <w:rPr>
                <w:rFonts w:hint="eastAsia" w:ascii="宋体" w:hAnsi="宋体" w:cs="宋体"/>
              </w:rPr>
              <w:t xml:space="preserve">8179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0.9891</w:t>
            </w:r>
          </w:p>
        </w:tc>
        <w:tc>
          <w:tcPr>
            <w:tcW w:w="922" w:type="pct"/>
            <w:shd w:val="clear" w:color="auto" w:fill="auto"/>
            <w:vAlign w:val="center"/>
          </w:tcPr>
          <w:p>
            <w:pPr>
              <w:jc w:val="center"/>
              <w:rPr>
                <w:rFonts w:ascii="宋体" w:hAnsi="宋体" w:cs="宋体"/>
              </w:rPr>
            </w:pPr>
            <w:r>
              <w:rPr>
                <w:rFonts w:hint="eastAsia" w:ascii="宋体" w:hAnsi="宋体" w:cs="宋体"/>
              </w:rPr>
              <w:t xml:space="preserve">0.9277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8264</w:t>
            </w:r>
          </w:p>
        </w:tc>
        <w:tc>
          <w:tcPr>
            <w:tcW w:w="922" w:type="pct"/>
            <w:shd w:val="clear" w:color="auto" w:fill="auto"/>
            <w:vAlign w:val="center"/>
          </w:tcPr>
          <w:p>
            <w:pPr>
              <w:jc w:val="center"/>
              <w:rPr>
                <w:rFonts w:ascii="宋体" w:hAnsi="宋体" w:cs="宋体"/>
              </w:rPr>
            </w:pPr>
            <w:r>
              <w:rPr>
                <w:rFonts w:hint="eastAsia" w:ascii="宋体" w:hAnsi="宋体" w:cs="宋体"/>
              </w:rPr>
              <w:t xml:space="preserve">9191</w:t>
            </w:r>
          </w:p>
        </w:tc>
        <w:tc>
          <w:tcPr>
            <w:tcW w:w="922" w:type="pct"/>
            <w:shd w:val="clear" w:color="auto" w:fill="auto"/>
            <w:vAlign w:val="center"/>
          </w:tcPr>
          <w:p>
            <w:pPr>
              <w:jc w:val="center"/>
              <w:rPr>
                <w:rFonts w:ascii="宋体" w:hAnsi="宋体" w:cs="宋体"/>
              </w:rPr>
            </w:pPr>
            <w:r>
              <w:rPr>
                <w:rFonts w:hint="eastAsia" w:ascii="宋体" w:hAnsi="宋体" w:cs="宋体"/>
              </w:rPr>
              <w:t xml:space="preserve">8041</w:t>
            </w:r>
          </w:p>
        </w:tc>
        <w:tc>
          <w:tcPr>
            <w:tcW w:w="922" w:type="pct"/>
            <w:shd w:val="clear" w:color="auto" w:fill="auto"/>
            <w:vAlign w:val="center"/>
          </w:tcPr>
          <w:p>
            <w:pPr>
              <w:jc w:val="center"/>
              <w:rPr>
                <w:rFonts w:ascii="宋体" w:hAnsi="宋体" w:cs="宋体"/>
              </w:rPr>
            </w:pPr>
            <w:r>
              <w:rPr>
                <w:rFonts w:hint="eastAsia" w:ascii="宋体" w:hAnsi="宋体" w:cs="宋体"/>
              </w:rPr>
              <w:t xml:space="preserve">8134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8264</w:t>
            </w:r>
          </w:p>
        </w:tc>
        <w:tc>
          <w:tcPr>
            <w:tcW w:w="922" w:type="pct"/>
            <w:shd w:val="clear" w:color="auto" w:fill="auto"/>
            <w:vAlign w:val="center"/>
          </w:tcPr>
          <w:p>
            <w:pPr>
              <w:jc w:val="center"/>
              <w:rPr>
                <w:rFonts w:ascii="宋体" w:hAnsi="宋体" w:cs="宋体"/>
              </w:rPr>
            </w:pPr>
            <w:r>
              <w:rPr>
                <w:rFonts w:hint="eastAsia" w:ascii="宋体" w:hAnsi="宋体" w:cs="宋体"/>
              </w:rPr>
              <w:t xml:space="preserve">9191</w:t>
            </w:r>
          </w:p>
        </w:tc>
        <w:tc>
          <w:tcPr>
            <w:tcW w:w="922" w:type="pct"/>
            <w:shd w:val="clear" w:color="auto" w:fill="auto"/>
            <w:vAlign w:val="center"/>
          </w:tcPr>
          <w:p>
            <w:pPr>
              <w:jc w:val="center"/>
              <w:rPr>
                <w:rFonts w:ascii="宋体" w:hAnsi="宋体" w:cs="宋体"/>
              </w:rPr>
            </w:pPr>
            <w:r>
              <w:rPr>
                <w:rFonts w:hint="eastAsia" w:ascii="宋体" w:hAnsi="宋体" w:cs="宋体"/>
              </w:rPr>
              <w:t xml:space="preserve">8041</w:t>
            </w:r>
          </w:p>
        </w:tc>
        <w:tc>
          <w:tcPr>
            <w:tcW w:w="922" w:type="pct"/>
            <w:shd w:val="clear" w:color="auto" w:fill="auto"/>
            <w:vAlign w:val="center"/>
          </w:tcPr>
          <w:p>
            <w:pPr>
              <w:jc w:val="center"/>
              <w:rPr>
                <w:rFonts w:ascii="宋体" w:hAnsi="宋体" w:cs="宋体"/>
              </w:rPr>
            </w:pPr>
            <w:r>
              <w:rPr>
                <w:rFonts w:hint="eastAsia" w:ascii="宋体" w:hAnsi="宋体" w:cs="宋体"/>
              </w:rPr>
              <w:t xml:space="preserve">8134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8408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F32050920240001850</w:t>
            </w:r>
          </w:p>
        </w:tc>
        <w:tc>
          <w:tcPr>
            <w:tcW w:w="1842" w:type="dxa"/>
            <w:vAlign w:val="center"/>
          </w:tcPr>
          <w:p>
            <w:pPr>
              <w:jc w:val="center"/>
            </w:pPr>
            <w:r>
              <w:rPr>
                <w:rFonts w:hint="eastAsia" w:ascii="宋体" w:hAnsi="宋体" w:cs="宋体"/>
              </w:rPr>
              <w:t xml:space="preserve">F32050920240020610</w:t>
            </w:r>
          </w:p>
        </w:tc>
        <w:tc>
          <w:tcPr>
            <w:tcW w:w="1843" w:type="dxa"/>
            <w:vAlign w:val="center"/>
          </w:tcPr>
          <w:p>
            <w:pPr>
              <w:jc w:val="center"/>
            </w:pPr>
            <w:r>
              <w:rPr>
                <w:rFonts w:hint="eastAsia" w:ascii="宋体" w:hAnsi="宋体" w:cs="宋体"/>
              </w:rPr>
              <w:t xml:space="preserve">s202309260154</w:t>
            </w:r>
          </w:p>
        </w:tc>
        <w:tc>
          <w:tcPr>
            <w:tcW w:w="1985" w:type="dxa"/>
            <w:vAlign w:val="center"/>
          </w:tcPr>
          <w:p>
            <w:pPr>
              <w:jc w:val="center"/>
            </w:pPr>
            <w:r>
              <w:rPr>
                <w:rFonts w:hint="eastAsia" w:ascii="宋体" w:hAnsi="宋体" w:cs="宋体"/>
              </w:rPr>
              <w:t xml:space="preserve">s202403060026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山湖嘉晖苑31幢604</w:t>
            </w:r>
          </w:p>
        </w:tc>
        <w:tc>
          <w:tcPr>
            <w:tcW w:w="1842" w:type="dxa"/>
            <w:vAlign w:val="center"/>
          </w:tcPr>
          <w:p>
            <w:pPr>
              <w:jc w:val="center"/>
            </w:pPr>
            <w:r>
              <w:rPr>
                <w:rFonts w:hint="eastAsia" w:ascii="宋体" w:hAnsi="宋体" w:cs="宋体"/>
              </w:rPr>
              <w:t xml:space="preserve">众盛阳光嘉园27幢504</w:t>
            </w:r>
          </w:p>
        </w:tc>
        <w:tc>
          <w:tcPr>
            <w:tcW w:w="1843" w:type="dxa"/>
            <w:vAlign w:val="center"/>
          </w:tcPr>
          <w:p>
            <w:pPr>
              <w:jc w:val="center"/>
            </w:pPr>
            <w:r>
              <w:rPr>
                <w:rFonts w:hint="eastAsia" w:ascii="宋体" w:hAnsi="宋体" w:cs="宋体"/>
              </w:rPr>
              <w:t xml:space="preserve">山湖天香苑18幢502</w:t>
            </w:r>
          </w:p>
        </w:tc>
        <w:tc>
          <w:tcPr>
            <w:tcW w:w="1985" w:type="dxa"/>
            <w:vAlign w:val="center"/>
          </w:tcPr>
          <w:p>
            <w:pPr>
              <w:jc w:val="center"/>
            </w:pPr>
            <w:r>
              <w:rPr>
                <w:rFonts w:hint="eastAsia" w:ascii="宋体" w:hAnsi="宋体" w:cs="宋体"/>
              </w:rPr>
              <w:t xml:space="preserve">教师新村7幢203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山湖嘉晖苑31幢604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众盛阳光嘉园27幢504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山湖天香苑18幢502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教师新村7幢203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