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苏吴地评税字(2024)吴江第00941号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水城名邸联排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2024年08月22日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估价对象位于苏州市吴江区区域范围内的水城名邸住宅小区联排存量房。该小区内的物业类型包括：</w:t>
      </w:r>
      <w:r>
        <w:rPr>
          <w:rFonts w:ascii="宋体"/>
          <w:sz w:val="24"/>
        </w:rPr>
        <w:t xml:space="preserve">小高层、高层、叠加、联排、双拼</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月修订版），结合估价人员现场查勘，选取水城名邸</w:t>
      </w:r>
      <w:r>
        <w:rPr>
          <w:rFonts w:ascii="宋体"/>
          <w:sz w:val="24"/>
        </w:rPr>
        <w:t xml:space="preserve">15幢103室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242.5</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2080年03月09日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壹万壹仟贰佰陆拾陆元整</w:t>
      </w:r>
      <w:r>
        <w:rPr>
          <w:rFonts w:hint="eastAsia" w:ascii="宋体" w:hAnsi="宋体"/>
          <w:b/>
          <w:bCs/>
          <w:sz w:val="24"/>
        </w:rPr>
        <w:t xml:space="preserve">（RMB</w:t>
      </w:r>
      <w:r>
        <w:rPr>
          <w:rFonts w:ascii="宋体" w:hAnsi="宋体"/>
          <w:b/>
          <w:bCs/>
          <w:sz w:val="24"/>
        </w:rPr>
        <w:t xml:space="preserve"> 11266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2024年08月22日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5.本报告作为整体使用时有效。若房地产市场无重大波动，本估价报告自出具日起一年内有效，从2024年08月22日至</w:t>
      </w:r>
      <w:r>
        <w:rPr>
          <w:rFonts w:ascii="宋体" w:hAnsi="宋体"/>
          <w:sz w:val="24"/>
        </w:rPr>
        <w:t xml:space="preserve">2025年08月21日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估价对象为水城名邸</w:t>
      </w:r>
      <w:r>
        <w:rPr>
          <w:rFonts w:ascii="宋体" w:hAnsi="宋体"/>
          <w:sz w:val="24"/>
        </w:rPr>
        <w:t xml:space="preserve">15幢103室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江苏路西侧</w:t>
      </w:r>
      <w:r>
        <w:rPr>
          <w:rFonts w:hint="eastAsia" w:hAnsi="宋体"/>
          <w:sz w:val="24"/>
        </w:rPr>
        <w:t xml:space="preserve">的“水城名邸”住宅区内。</w:t>
      </w:r>
      <w:r>
        <w:rPr>
          <w:rFonts w:hint="eastAsia" w:ascii="宋体" w:hAnsi="宋体"/>
          <w:sz w:val="24"/>
        </w:rPr>
        <w:t xml:space="preserve">估价对象东至</w:t>
      </w:r>
      <w:r>
        <w:rPr>
          <w:rFonts w:ascii="宋体" w:hAnsi="宋体"/>
          <w:sz w:val="24"/>
          <w:szCs w:val="24"/>
        </w:rPr>
        <w:t xml:space="preserve">江苏路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北京路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海南路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城司路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242.5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江苏路西侧</w:t>
      </w:r>
      <w:r>
        <w:rPr>
          <w:rFonts w:hint="eastAsia" w:hAnsi="宋体"/>
          <w:sz w:val="24"/>
        </w:rPr>
        <w:t xml:space="preserve">的“水城名邸”住宅区内。该小区内的物业类型包括：</w:t>
      </w:r>
      <w:r>
        <w:rPr>
          <w:rFonts w:hAnsi="宋体"/>
          <w:sz w:val="24"/>
        </w:rPr>
        <w:t xml:space="preserve">小高层、高层、叠加、联排、双拼</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水城名邸</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“水城名邸”小区</w:t>
            </w:r>
            <w:r>
              <w:rPr>
                <w:rFonts w:ascii="Cambria" w:hAnsi="宋体" w:eastAsia="黑体" w:cs="Times New Roman" w:asciiTheme="majorHAnsi" w:cstheme="majorBidi"/>
                <w:sz w:val="15"/>
                <w:szCs w:val="15"/>
              </w:rPr>
              <w:t xml:space="preserve">15幢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由于水城名邸市场交易不活跃，片区内可选案例较少，因此选择的案例A，B，C，D，距离在3公里以外。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水城名邸住宅2024年8月挂牌均价14033元/平方米，较年初持平。待评估二手房住宅近13个月（2023年08月-2024年08月）挂牌均价波动幅度较小，价格维持在14033-14520元/平方米之间。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均价说明：水城名邸小区物业类型包括：小高层、高层、叠加、联排、双拼,房源均价为:14033元/平方米，包含毛坯价值以及附带装修价值。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242.5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2080年03月09日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壹万壹仟贰佰陆拾陆元整</w:t>
      </w:r>
      <w:r>
        <w:rPr>
          <w:rFonts w:hint="eastAsia" w:ascii="宋体" w:hAnsi="宋体"/>
          <w:b/>
          <w:bCs/>
          <w:sz w:val="24"/>
        </w:rPr>
        <w:t xml:space="preserve">（RMB </w:t>
      </w:r>
      <w:r>
        <w:rPr>
          <w:rFonts w:ascii="宋体" w:hAnsi="宋体"/>
          <w:b/>
          <w:bCs/>
          <w:sz w:val="24"/>
        </w:rPr>
        <w:t xml:space="preserve">11266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273.21</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11266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2024年08月08日</w:t>
      </w:r>
      <w:r>
        <w:rPr>
          <w:rFonts w:hint="eastAsia" w:ascii="宋体"/>
          <w:sz w:val="24"/>
        </w:rPr>
        <w:t xml:space="preserve">至2024年08月22日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估价对象为苏州市吴江区“水城名邸”住宅区内的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位于海南路北侧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海南路北侧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附近有7307路、7308路、7318路等多条公交线路</w:t>
      </w:r>
      <w:r>
        <w:rPr>
          <w:rFonts w:hint="eastAsia" w:hAnsi="宋体"/>
          <w:sz w:val="24"/>
        </w:rPr>
        <w:t xml:space="preserve">，</w:t>
      </w:r>
      <w:r>
        <w:rPr>
          <w:rFonts w:hAnsi="宋体"/>
          <w:sz w:val="24"/>
        </w:rPr>
        <w:t xml:space="preserve">至公交站点的距离约为190米，公交班次平均隔10分钟有一辆汽车通过。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华润万家(苏州吴江汾湖店)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江苏银行(吴江汾湖支行)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浦北农贸市场(芦福宫小区西北)</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汾湖开发区实验幼儿园</w:t>
      </w:r>
      <w:r>
        <w:rPr>
          <w:rFonts w:hint="eastAsia" w:ascii="宋体" w:hAnsi="宋体" w:eastAsia="宋体" w:asciiTheme="minorEastAsia" w:hAnsiTheme="minorEastAsia" w:eastAsiaTheme="minorEastAsia"/>
          <w:sz w:val="24"/>
        </w:rPr>
        <w:t xml:space="preserve">、</w:t>
      </w:r>
      <w:r>
        <w:rPr>
          <w:rFonts w:hAnsi="宋体"/>
          <w:sz w:val="24"/>
        </w:rPr>
        <w:t xml:space="preserve">汾湖开发区实验小学</w:t>
      </w:r>
      <w:r>
        <w:rPr>
          <w:rFonts w:hint="eastAsia" w:hAnsi="宋体"/>
          <w:sz w:val="24"/>
        </w:rPr>
        <w:t xml:space="preserve">、</w:t>
      </w:r>
      <w:r>
        <w:rPr>
          <w:rFonts w:hAnsi="宋体"/>
          <w:sz w:val="24"/>
        </w:rPr>
        <w:t xml:space="preserve">汾湖实验中学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2080年03月09日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江苏路</w:t>
      </w:r>
      <w:r>
        <w:rPr>
          <w:rFonts w:hint="eastAsia" w:ascii="宋体" w:hAnsi="宋体"/>
          <w:sz w:val="24"/>
        </w:rPr>
        <w:t xml:space="preserve">，南至</w:t>
      </w:r>
      <w:r>
        <w:rPr>
          <w:rFonts w:ascii="宋体" w:hAnsi="宋体"/>
          <w:sz w:val="24"/>
        </w:rPr>
        <w:t xml:space="preserve">北京路</w:t>
      </w:r>
      <w:r>
        <w:rPr>
          <w:rFonts w:hint="eastAsia" w:ascii="宋体" w:hAnsi="宋体"/>
          <w:sz w:val="24"/>
        </w:rPr>
        <w:t xml:space="preserve">，西至</w:t>
      </w:r>
      <w:r>
        <w:rPr>
          <w:rFonts w:ascii="宋体" w:hAnsi="宋体"/>
          <w:sz w:val="24"/>
        </w:rPr>
        <w:t xml:space="preserve">海南路</w:t>
      </w:r>
      <w:r>
        <w:rPr>
          <w:rFonts w:hint="eastAsia" w:ascii="宋体" w:hAnsi="宋体"/>
          <w:sz w:val="24"/>
        </w:rPr>
        <w:t xml:space="preserve">，北至</w:t>
      </w:r>
      <w:r>
        <w:rPr>
          <w:rFonts w:ascii="宋体" w:hAnsi="宋体"/>
          <w:sz w:val="24"/>
        </w:rPr>
        <w:t xml:space="preserve">城司路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估价对象为坐落于苏州市吴江区水城名邸</w:t>
      </w:r>
      <w:r>
        <w:t xml:space="preserve"> </w:t>
      </w:r>
      <w:r>
        <w:rPr>
          <w:rFonts w:ascii="宋体" w:hAnsi="宋体"/>
          <w:kern w:val="2"/>
          <w:sz w:val="24"/>
        </w:rPr>
        <w:t xml:space="preserve">15幢103室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242.5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估价对象建成于2011年，基础较为稳固，未见沉降；墙面、地面、门窗等保养完好，综合保养成新度为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水城名邸住宅2024年8月挂牌均价14033元/平方米，较年初持平。待评估二手房住宅近13个月（2023年08月-2024年08月）挂牌均价波动幅度较小，价格维持在14033-14520元/平方米之间。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苏州市吴江区水城名邸</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F32050920230030638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F32050920240025499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s202405160142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s202404110035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吴江区黎里镇水城名邸15幢103室联排住宅标准房基准价格评估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乐湖苑105幢102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维纳恩湖122号102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幸福路1988号9幢102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维纳恩湖135号101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240.52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263.65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297.69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252.04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10810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12630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12093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11903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指数，吴江区2023年08月至2024年07月住宅月度价格指数表为：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2024年07月08日</w:t>
            </w:r>
          </w:p>
        </w:tc>
        <w:tc>
          <w:tcPr>
            <w:tcW w:w="778" w:type="pct"/>
            <w:shd w:val="clear" w:color="auto" w:fill="FFFFFF"/>
            <w:vAlign w:val="center"/>
          </w:tcPr>
          <w:p>
            <w:pPr>
              <w:jc w:val="center"/>
            </w:pPr>
            <w:r>
              <w:rPr>
                <w:rFonts w:hint="eastAsia" w:ascii="宋体" w:hAnsi="宋体" w:cs="宋体"/>
              </w:rPr>
              <w:t xml:space="preserve">2023年08月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2024年05月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10810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12630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12093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11903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1917</w:t>
            </w:r>
          </w:p>
        </w:tc>
        <w:tc>
          <w:tcPr>
            <w:tcW w:w="778" w:type="pct"/>
            <w:shd w:val="clear" w:color="auto" w:fill="FFFFFF"/>
            <w:vAlign w:val="center"/>
          </w:tcPr>
          <w:p>
            <w:pPr>
              <w:jc w:val="center"/>
            </w:pPr>
            <w:r>
              <w:rPr>
                <w:rFonts w:hint="eastAsia" w:ascii="宋体" w:hAnsi="宋体" w:cs="宋体"/>
              </w:rPr>
              <w:t xml:space="preserve">2072</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1939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1917/1917</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1917/1939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0.925</w:t>
            </w:r>
          </w:p>
        </w:tc>
        <w:tc>
          <w:tcPr>
            <w:tcW w:w="779" w:type="pct"/>
            <w:shd w:val="clear" w:color="auto" w:fill="FFFFFF"/>
            <w:vAlign w:val="center"/>
          </w:tcPr>
          <w:p>
            <w:pPr>
              <w:jc w:val="center"/>
            </w:pPr>
            <w:r>
              <w:rPr>
                <w:rFonts w:hint="eastAsia" w:ascii="宋体" w:hAnsi="宋体" w:cs="宋体"/>
              </w:rPr>
              <w:t xml:space="preserve">0.989</w:t>
            </w:r>
          </w:p>
        </w:tc>
        <w:tc>
          <w:tcPr>
            <w:tcW w:w="779" w:type="pct"/>
            <w:shd w:val="clear" w:color="auto" w:fill="FFFFFF"/>
            <w:vAlign w:val="center"/>
          </w:tcPr>
          <w:p>
            <w:pPr>
              <w:jc w:val="center"/>
            </w:pPr>
            <w:r>
              <w:rPr>
                <w:rFonts w:hint="eastAsia" w:ascii="宋体" w:hAnsi="宋体" w:cs="宋体"/>
              </w:rPr>
              <w:t xml:space="preserve">0.989</w:t>
            </w:r>
          </w:p>
        </w:tc>
        <w:tc>
          <w:tcPr>
            <w:tcW w:w="779" w:type="pct"/>
            <w:shd w:val="clear" w:color="auto" w:fill="FFFFFF"/>
            <w:vAlign w:val="center"/>
          </w:tcPr>
          <w:p>
            <w:pPr>
              <w:jc w:val="center"/>
            </w:pPr>
            <w:r>
              <w:rPr>
                <w:rFonts w:hint="eastAsia" w:ascii="宋体" w:hAnsi="宋体" w:cs="宋体"/>
              </w:rPr>
              <w:t xml:space="preserve">0.989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备注：在价值时点2024年08月08日</w:t>
      </w:r>
      <w:r>
        <w:rPr>
          <w:rFonts w:hint="eastAsia" w:ascii="宋体" w:hAnsi="宋体" w:cs="宋体"/>
          <w:sz w:val="24"/>
          <w:szCs w:val="24"/>
        </w:rPr>
        <w:t xml:space="preserve">，2024年08月份价格指数尚未公布，本次估价采用2024年07月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60818529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吴江区黎里镇水城名邸15幢103室联排住宅标准房基准价格评估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乐湖苑105幢102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维纳恩湖122号102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幸福路1988号9幢102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维纳恩湖135号101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242.5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240.52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263.65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297.69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252.04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12630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10834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10810</w:t>
            </w:r>
          </w:p>
        </w:tc>
        <w:tc>
          <w:tcPr>
            <w:tcW w:w="922" w:type="pct"/>
            <w:shd w:val="clear" w:color="auto" w:fill="auto"/>
            <w:vAlign w:val="center"/>
          </w:tcPr>
          <w:p>
            <w:pPr>
              <w:jc w:val="center"/>
              <w:rPr>
                <w:rFonts w:ascii="宋体" w:hAnsi="宋体" w:cs="宋体"/>
              </w:rPr>
            </w:pPr>
            <w:r>
              <w:rPr>
                <w:rFonts w:hint="eastAsia" w:ascii="宋体" w:hAnsi="宋体" w:cs="宋体"/>
              </w:rPr>
              <w:t xml:space="preserve">12630</w:t>
            </w:r>
          </w:p>
        </w:tc>
        <w:tc>
          <w:tcPr>
            <w:tcW w:w="922" w:type="pct"/>
            <w:shd w:val="clear" w:color="auto" w:fill="auto"/>
            <w:vAlign w:val="center"/>
          </w:tcPr>
          <w:p>
            <w:pPr>
              <w:jc w:val="center"/>
              <w:rPr>
                <w:rFonts w:ascii="宋体" w:hAnsi="宋体" w:cs="宋体"/>
              </w:rPr>
            </w:pPr>
            <w:r>
              <w:rPr>
                <w:rFonts w:hint="eastAsia" w:ascii="宋体" w:hAnsi="宋体" w:cs="宋体"/>
              </w:rPr>
              <w:t xml:space="preserve">12093</w:t>
            </w:r>
          </w:p>
        </w:tc>
        <w:tc>
          <w:tcPr>
            <w:tcW w:w="922" w:type="pct"/>
            <w:shd w:val="clear" w:color="auto" w:fill="auto"/>
            <w:vAlign w:val="center"/>
          </w:tcPr>
          <w:p>
            <w:pPr>
              <w:jc w:val="center"/>
              <w:rPr>
                <w:rFonts w:ascii="宋体" w:hAnsi="宋体" w:cs="宋体"/>
              </w:rPr>
            </w:pPr>
            <w:r>
              <w:rPr>
                <w:rFonts w:hint="eastAsia" w:ascii="宋体" w:hAnsi="宋体" w:cs="宋体"/>
              </w:rPr>
              <w:t xml:space="preserve">11903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0.925</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110.16/116.77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99.5/97.5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c>
          <w:tcPr>
            <w:tcW w:w="922" w:type="pct"/>
            <w:shd w:val="clear" w:color="auto" w:fill="auto"/>
            <w:vAlign w:val="center"/>
          </w:tcPr>
          <w:p>
            <w:pPr>
              <w:jc w:val="center"/>
              <w:rPr>
                <w:rFonts w:ascii="宋体" w:hAnsi="宋体" w:cs="宋体"/>
              </w:rPr>
            </w:pPr>
            <w:r>
              <w:rPr>
                <w:rFonts w:hint="eastAsia" w:ascii="宋体" w:hAnsi="宋体" w:cs="宋体"/>
              </w:rPr>
              <w:t xml:space="preserve">0.9648</w:t>
            </w:r>
          </w:p>
        </w:tc>
        <w:tc>
          <w:tcPr>
            <w:tcW w:w="922" w:type="pct"/>
            <w:shd w:val="clear" w:color="auto" w:fill="auto"/>
            <w:vAlign w:val="center"/>
          </w:tcPr>
          <w:p>
            <w:pPr>
              <w:jc w:val="center"/>
              <w:rPr>
                <w:rFonts w:ascii="宋体" w:hAnsi="宋体" w:cs="宋体"/>
              </w:rPr>
            </w:pPr>
            <w:r>
              <w:rPr>
                <w:rFonts w:hint="eastAsia" w:ascii="宋体" w:hAnsi="宋体" w:cs="宋体"/>
              </w:rPr>
              <w:t xml:space="preserve">0.9792</w:t>
            </w:r>
          </w:p>
        </w:tc>
        <w:tc>
          <w:tcPr>
            <w:tcW w:w="922" w:type="pct"/>
            <w:shd w:val="clear" w:color="auto" w:fill="auto"/>
            <w:vAlign w:val="center"/>
          </w:tcPr>
          <w:p>
            <w:pPr>
              <w:jc w:val="center"/>
              <w:rPr>
                <w:rFonts w:ascii="宋体" w:hAnsi="宋体" w:cs="宋体"/>
              </w:rPr>
            </w:pPr>
            <w:r>
              <w:rPr>
                <w:rFonts w:hint="eastAsia" w:ascii="宋体" w:hAnsi="宋体" w:cs="宋体"/>
              </w:rPr>
              <w:t xml:space="preserve">0.9102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10205</w:t>
            </w:r>
          </w:p>
        </w:tc>
        <w:tc>
          <w:tcPr>
            <w:tcW w:w="922" w:type="pct"/>
            <w:shd w:val="clear" w:color="auto" w:fill="auto"/>
            <w:vAlign w:val="center"/>
          </w:tcPr>
          <w:p>
            <w:pPr>
              <w:jc w:val="center"/>
              <w:rPr>
                <w:rFonts w:ascii="宋体" w:hAnsi="宋体" w:cs="宋体"/>
              </w:rPr>
            </w:pPr>
            <w:r>
              <w:rPr>
                <w:rFonts w:hint="eastAsia" w:ascii="宋体" w:hAnsi="宋体" w:cs="宋体"/>
              </w:rPr>
              <w:t xml:space="preserve">12185</w:t>
            </w:r>
          </w:p>
        </w:tc>
        <w:tc>
          <w:tcPr>
            <w:tcW w:w="922" w:type="pct"/>
            <w:shd w:val="clear" w:color="auto" w:fill="auto"/>
            <w:vAlign w:val="center"/>
          </w:tcPr>
          <w:p>
            <w:pPr>
              <w:jc w:val="center"/>
              <w:rPr>
                <w:rFonts w:ascii="宋体" w:hAnsi="宋体" w:cs="宋体"/>
              </w:rPr>
            </w:pPr>
            <w:r>
              <w:rPr>
                <w:rFonts w:hint="eastAsia" w:ascii="宋体" w:hAnsi="宋体" w:cs="宋体"/>
              </w:rPr>
              <w:t xml:space="preserve">11841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10834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10205</w:t>
            </w:r>
          </w:p>
        </w:tc>
        <w:tc>
          <w:tcPr>
            <w:tcW w:w="922" w:type="pct"/>
            <w:shd w:val="clear" w:color="auto" w:fill="auto"/>
            <w:vAlign w:val="center"/>
          </w:tcPr>
          <w:p>
            <w:pPr>
              <w:jc w:val="center"/>
              <w:rPr>
                <w:rFonts w:ascii="宋体" w:hAnsi="宋体" w:cs="宋体"/>
              </w:rPr>
            </w:pPr>
            <w:r>
              <w:rPr>
                <w:rFonts w:hint="eastAsia" w:ascii="宋体" w:hAnsi="宋体" w:cs="宋体"/>
              </w:rPr>
              <w:t xml:space="preserve">12185</w:t>
            </w:r>
          </w:p>
        </w:tc>
        <w:tc>
          <w:tcPr>
            <w:tcW w:w="922" w:type="pct"/>
            <w:shd w:val="clear" w:color="auto" w:fill="auto"/>
            <w:vAlign w:val="center"/>
          </w:tcPr>
          <w:p>
            <w:pPr>
              <w:jc w:val="center"/>
              <w:rPr>
                <w:rFonts w:ascii="宋体" w:hAnsi="宋体" w:cs="宋体"/>
              </w:rPr>
            </w:pPr>
            <w:r>
              <w:rPr>
                <w:rFonts w:hint="eastAsia" w:ascii="宋体" w:hAnsi="宋体" w:cs="宋体"/>
              </w:rPr>
              <w:t xml:space="preserve">11841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10834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11266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F32050920230030638</w:t>
            </w:r>
          </w:p>
        </w:tc>
        <w:tc>
          <w:tcPr>
            <w:tcW w:w="1842" w:type="dxa"/>
            <w:vAlign w:val="center"/>
          </w:tcPr>
          <w:p>
            <w:pPr>
              <w:jc w:val="center"/>
            </w:pPr>
            <w:r>
              <w:rPr>
                <w:rFonts w:hint="eastAsia" w:ascii="宋体" w:hAnsi="宋体" w:cs="宋体"/>
              </w:rPr>
              <w:t xml:space="preserve">F32050920240025499</w:t>
            </w:r>
          </w:p>
        </w:tc>
        <w:tc>
          <w:tcPr>
            <w:tcW w:w="1843" w:type="dxa"/>
            <w:vAlign w:val="center"/>
          </w:tcPr>
          <w:p>
            <w:pPr>
              <w:jc w:val="center"/>
            </w:pPr>
            <w:r>
              <w:rPr>
                <w:rFonts w:hint="eastAsia" w:ascii="宋体" w:hAnsi="宋体" w:cs="宋体"/>
              </w:rPr>
              <w:t xml:space="preserve">s202405160142</w:t>
            </w:r>
          </w:p>
        </w:tc>
        <w:tc>
          <w:tcPr>
            <w:tcW w:w="1985" w:type="dxa"/>
            <w:vAlign w:val="center"/>
          </w:tcPr>
          <w:p>
            <w:pPr>
              <w:jc w:val="center"/>
            </w:pPr>
            <w:r>
              <w:rPr>
                <w:rFonts w:hint="eastAsia" w:ascii="宋体" w:hAnsi="宋体" w:cs="宋体"/>
              </w:rPr>
              <w:t xml:space="preserve">s202404110035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乐湖苑105幢102</w:t>
            </w:r>
          </w:p>
        </w:tc>
        <w:tc>
          <w:tcPr>
            <w:tcW w:w="1842" w:type="dxa"/>
            <w:vAlign w:val="center"/>
          </w:tcPr>
          <w:p>
            <w:pPr>
              <w:jc w:val="center"/>
            </w:pPr>
            <w:r>
              <w:rPr>
                <w:rFonts w:hint="eastAsia" w:ascii="宋体" w:hAnsi="宋体" w:cs="宋体"/>
              </w:rPr>
              <w:t xml:space="preserve">维纳恩湖122号102</w:t>
            </w:r>
          </w:p>
        </w:tc>
        <w:tc>
          <w:tcPr>
            <w:tcW w:w="1843" w:type="dxa"/>
            <w:vAlign w:val="center"/>
          </w:tcPr>
          <w:p>
            <w:pPr>
              <w:jc w:val="center"/>
            </w:pPr>
            <w:r>
              <w:rPr>
                <w:rFonts w:hint="eastAsia" w:ascii="宋体" w:hAnsi="宋体" w:cs="宋体"/>
              </w:rPr>
              <w:t xml:space="preserve">幸福路1988号9幢102</w:t>
            </w:r>
          </w:p>
        </w:tc>
        <w:tc>
          <w:tcPr>
            <w:tcW w:w="1985" w:type="dxa"/>
            <w:vAlign w:val="center"/>
          </w:tcPr>
          <w:p>
            <w:pPr>
              <w:jc w:val="center"/>
            </w:pPr>
            <w:r>
              <w:rPr>
                <w:rFonts w:hint="eastAsia" w:ascii="宋体" w:hAnsi="宋体" w:cs="宋体"/>
              </w:rPr>
              <w:t xml:space="preserve">维纳恩湖135号101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乐湖苑105幢102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维纳恩湖122号102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幸福路1988号9幢102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维纳恩湖135号101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