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苏吴地评税字(2024)吴江第00945号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水城名邸叠加</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2024年08月22日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估价对象位于苏州市吴江区区域范围内的水城名邸住宅小区叠加存量房。该小区内的物业类型包括：</w:t>
      </w:r>
      <w:r>
        <w:rPr>
          <w:rFonts w:ascii="宋体"/>
          <w:sz w:val="24"/>
        </w:rPr>
        <w:t xml:space="preserve">小高层、高层、叠加、联排、双拼</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月修订版），结合估价人员现场查勘，选取水城名邸</w:t>
      </w:r>
      <w:r>
        <w:rPr>
          <w:rFonts w:ascii="宋体"/>
          <w:sz w:val="24"/>
        </w:rPr>
        <w:t xml:space="preserve">8幢102室</w:t>
      </w:r>
      <w:r>
        <w:rPr>
          <w:rFonts w:hint="eastAsia" w:ascii="宋体"/>
          <w:sz w:val="24"/>
        </w:rPr>
        <w:t xml:space="preserve">为该小区</w:t>
      </w:r>
      <w:r>
        <w:rPr>
          <w:rFonts w:ascii="宋体"/>
          <w:sz w:val="24"/>
        </w:rPr>
        <w:t xml:space="preserve">钢混结构</w:t>
      </w:r>
      <w:r>
        <w:rPr>
          <w:rFonts w:hint="eastAsia" w:ascii="宋体"/>
          <w:sz w:val="24"/>
        </w:rPr>
        <w:t xml:space="preserve">叠加的标准样本房，所在楼层</w:t>
      </w:r>
      <w:r>
        <w:rPr>
          <w:rFonts w:ascii="宋体"/>
          <w:sz w:val="24"/>
        </w:rPr>
        <w:t xml:space="preserve">1-2</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223.12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2080年03月09日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壹万零捌佰叁拾捌元整</w:t>
      </w:r>
      <w:r>
        <w:rPr>
          <w:rFonts w:hint="eastAsia" w:ascii="宋体" w:hAnsi="宋体"/>
          <w:b/>
          <w:bCs/>
          <w:sz w:val="24"/>
        </w:rPr>
        <w:t xml:space="preserve">（RMB</w:t>
      </w:r>
      <w:r>
        <w:rPr>
          <w:rFonts w:ascii="宋体" w:hAnsi="宋体"/>
          <w:b/>
          <w:bCs/>
          <w:sz w:val="24"/>
        </w:rPr>
        <w:t xml:space="preserve"> 10838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2024年08月22日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5.本报告作为整体使用时有效。若房地产市场无重大波动，本估价报告自出具日起一年内有效，从2024年08月22日至</w:t>
      </w:r>
      <w:r>
        <w:rPr>
          <w:rFonts w:ascii="宋体" w:hAnsi="宋体"/>
          <w:sz w:val="24"/>
        </w:rPr>
        <w:t xml:space="preserve">2025年08月21日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估价对象为水城名邸</w:t>
      </w:r>
      <w:r>
        <w:rPr>
          <w:rFonts w:ascii="宋体" w:hAnsi="宋体"/>
          <w:sz w:val="24"/>
        </w:rPr>
        <w:t xml:space="preserve">8幢102室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江苏路西侧</w:t>
      </w:r>
      <w:r>
        <w:rPr>
          <w:rFonts w:hint="eastAsia" w:hAnsi="宋体"/>
          <w:sz w:val="24"/>
        </w:rPr>
        <w:t xml:space="preserve">的“水城名邸”住宅区内。</w:t>
      </w:r>
      <w:r>
        <w:rPr>
          <w:rFonts w:hint="eastAsia" w:ascii="宋体" w:hAnsi="宋体"/>
          <w:sz w:val="24"/>
        </w:rPr>
        <w:t xml:space="preserve">估价对象东至</w:t>
      </w:r>
      <w:r>
        <w:rPr>
          <w:rFonts w:ascii="宋体" w:hAnsi="宋体"/>
          <w:sz w:val="24"/>
          <w:szCs w:val="24"/>
        </w:rPr>
        <w:t xml:space="preserve">江苏路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北京路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海南路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城司路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223.12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江苏路西侧</w:t>
      </w:r>
      <w:r>
        <w:rPr>
          <w:rFonts w:hint="eastAsia" w:hAnsi="宋体"/>
          <w:sz w:val="24"/>
        </w:rPr>
        <w:t xml:space="preserve">的“水城名邸”住宅区内。该小区内的物业类型包括：</w:t>
      </w:r>
      <w:r>
        <w:rPr>
          <w:rFonts w:hAnsi="宋体"/>
          <w:sz w:val="24"/>
        </w:rPr>
        <w:t xml:space="preserve">小高层、高层、叠加、联排、双拼</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水城名邸</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“水城名邸”小区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由于水城名邸市场交易不活跃，片区内可选案例较少，因此选择的案例A，B，C，距离在3公里以外。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水城名邸住宅2024年8月挂牌均价14033元/平方米，较年初持平。待评估二手房住宅近16个月（2023年05月-2024年08月）挂牌均价波动幅度较小，价格维持在14033-15444元/平方米之间。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均价说明：水城名邸小区物业类型包括：小高层、高层、叠加、联排、双拼,房源均价为:14033元/平方米，包含毛坯价值以及附带装修价值。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该房屋为5层住宅楼的第1-2层，建于2011年，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223.12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2080年03月09日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壹万零捌佰叁拾捌元整</w:t>
      </w:r>
      <w:r>
        <w:rPr>
          <w:rFonts w:hint="eastAsia" w:ascii="宋体" w:hAnsi="宋体"/>
          <w:b/>
          <w:bCs/>
          <w:sz w:val="24"/>
        </w:rPr>
        <w:t xml:space="preserve">（RMB </w:t>
      </w:r>
      <w:r>
        <w:rPr>
          <w:rFonts w:ascii="宋体" w:hAnsi="宋体"/>
          <w:b/>
          <w:bCs/>
          <w:sz w:val="24"/>
        </w:rPr>
        <w:t xml:space="preserve">10838</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241.81</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10838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2024年08月08日</w:t>
      </w:r>
      <w:r>
        <w:rPr>
          <w:rFonts w:hint="eastAsia" w:ascii="宋体"/>
          <w:sz w:val="24"/>
        </w:rPr>
        <w:t xml:space="preserve">至2024年08月22日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估价对象为苏州市吴江区“水城名邸”住宅区内的</w:t>
      </w:r>
      <w:r>
        <w:rPr>
          <w:rFonts w:hAnsi="宋体"/>
          <w:sz w:val="24"/>
        </w:rPr>
        <w:t xml:space="preserve">叠加</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估价对象位于所在建筑物第1-2层。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位于海南路北侧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海南路北侧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附近有7307路、7308路、7318路等多条公交线路</w:t>
      </w:r>
      <w:r>
        <w:rPr>
          <w:rFonts w:hint="eastAsia" w:hAnsi="宋体"/>
          <w:sz w:val="24"/>
        </w:rPr>
        <w:t xml:space="preserve">，</w:t>
      </w:r>
      <w:r>
        <w:rPr>
          <w:rFonts w:hAnsi="宋体"/>
          <w:sz w:val="24"/>
        </w:rPr>
        <w:t xml:space="preserve">至公交站点的距离约为190米，公交班次平均隔10分钟有一辆汽车通过。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华润万家(苏州吴江汾湖店)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江苏银行(吴江汾湖支行)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浦北农贸市场(芦福宫小区西北)</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汾湖开发区实验幼儿园</w:t>
      </w:r>
      <w:r>
        <w:rPr>
          <w:rFonts w:hint="eastAsia" w:ascii="宋体" w:hAnsi="宋体" w:eastAsia="宋体" w:asciiTheme="minorEastAsia" w:hAnsiTheme="minorEastAsia" w:eastAsiaTheme="minorEastAsia"/>
          <w:sz w:val="24"/>
        </w:rPr>
        <w:t xml:space="preserve">、</w:t>
      </w:r>
      <w:r>
        <w:rPr>
          <w:rFonts w:hAnsi="宋体"/>
          <w:sz w:val="24"/>
        </w:rPr>
        <w:t xml:space="preserve">汾湖开发区实验小学</w:t>
      </w:r>
      <w:r>
        <w:rPr>
          <w:rFonts w:hint="eastAsia" w:hAnsi="宋体"/>
          <w:sz w:val="24"/>
        </w:rPr>
        <w:t xml:space="preserve">、</w:t>
      </w:r>
      <w:r>
        <w:rPr>
          <w:rFonts w:hAnsi="宋体"/>
          <w:sz w:val="24"/>
        </w:rPr>
        <w:t xml:space="preserve">汾湖实验中学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2080年03月09日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江苏路</w:t>
      </w:r>
      <w:r>
        <w:rPr>
          <w:rFonts w:hint="eastAsia" w:ascii="宋体" w:hAnsi="宋体"/>
          <w:sz w:val="24"/>
        </w:rPr>
        <w:t xml:space="preserve">，南至</w:t>
      </w:r>
      <w:r>
        <w:rPr>
          <w:rFonts w:ascii="宋体" w:hAnsi="宋体"/>
          <w:sz w:val="24"/>
        </w:rPr>
        <w:t xml:space="preserve">北京路</w:t>
      </w:r>
      <w:r>
        <w:rPr>
          <w:rFonts w:hint="eastAsia" w:ascii="宋体" w:hAnsi="宋体"/>
          <w:sz w:val="24"/>
        </w:rPr>
        <w:t xml:space="preserve">，西至</w:t>
      </w:r>
      <w:r>
        <w:rPr>
          <w:rFonts w:ascii="宋体" w:hAnsi="宋体"/>
          <w:sz w:val="24"/>
        </w:rPr>
        <w:t xml:space="preserve">海南路</w:t>
      </w:r>
      <w:r>
        <w:rPr>
          <w:rFonts w:hint="eastAsia" w:ascii="宋体" w:hAnsi="宋体"/>
          <w:sz w:val="24"/>
        </w:rPr>
        <w:t xml:space="preserve">，北至</w:t>
      </w:r>
      <w:r>
        <w:rPr>
          <w:rFonts w:ascii="宋体" w:hAnsi="宋体"/>
          <w:sz w:val="24"/>
        </w:rPr>
        <w:t xml:space="preserve">城司路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估价对象为坐落于苏州市吴江区水城名邸</w:t>
      </w:r>
      <w:r>
        <w:t xml:space="preserve"> </w:t>
      </w:r>
      <w:r>
        <w:rPr>
          <w:rFonts w:ascii="宋体" w:hAnsi="宋体"/>
          <w:kern w:val="2"/>
          <w:sz w:val="24"/>
        </w:rPr>
        <w:t xml:space="preserve">8幢102室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估价对象为叠加建筑，建筑面积为</w:t>
      </w:r>
      <w:r>
        <w:rPr>
          <w:rFonts w:hAnsi="宋体"/>
          <w:sz w:val="24"/>
        </w:rPr>
        <w:t xml:space="preserve">223.12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3层数、层高：估价对象位于总楼层为5层的第1-2层，层高约2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五室两厅四卫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估价对象建成于2011年，基础较为稳固，未见沉降；墙面、地面、门窗等保养完好，综合保养成新度为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水城名邸住宅2024年8月挂牌均价14033元/平方米，较年初持平。待评估二手房住宅近16个月（2023年05月-2024年08月）挂牌均价波动幅度较小，价格维持在14033-15444元/平方米之间。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苏州市吴江区水城名邸</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F32050920230019744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F32050920230031760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W202307030002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s202310060037</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吴江区黎里镇水城名邸8幢102室叠加住宅标准房基准价格评估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盛世花苑2幢103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天城花园10幢108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盛世花苑10幢103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水城名邸4幢901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223.12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223.54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282.07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347.79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143.39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9-10/18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2023年05月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12436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10877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11490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11856</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指数，吴江区2023年08月至2024年07月住宅月度价格指数表为：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2024年07月08日</w:t>
            </w:r>
          </w:p>
        </w:tc>
        <w:tc>
          <w:tcPr>
            <w:tcW w:w="778" w:type="pct"/>
            <w:shd w:val="clear" w:color="auto" w:fill="FFFFFF"/>
            <w:vAlign w:val="center"/>
          </w:tcPr>
          <w:p>
            <w:pPr>
              <w:jc w:val="center"/>
            </w:pPr>
            <w:r>
              <w:rPr>
                <w:rFonts w:hint="eastAsia" w:ascii="宋体" w:hAnsi="宋体" w:cs="宋体"/>
              </w:rPr>
              <w:t xml:space="preserve">2023年05月</w:t>
            </w:r>
          </w:p>
        </w:tc>
        <w:tc>
          <w:tcPr>
            <w:tcW w:w="779" w:type="pct"/>
            <w:shd w:val="clear" w:color="auto" w:fill="FFFFFF"/>
            <w:vAlign w:val="center"/>
          </w:tcPr>
          <w:p>
            <w:pPr>
              <w:jc w:val="center"/>
            </w:pPr>
            <w:r>
              <w:rPr>
                <w:rFonts w:hint="eastAsia" w:ascii="宋体" w:hAnsi="宋体" w:cs="宋体"/>
              </w:rPr>
              <w:t xml:space="preserve">2023年08月</w:t>
            </w:r>
          </w:p>
        </w:tc>
        <w:tc>
          <w:tcPr>
            <w:tcW w:w="779" w:type="pct"/>
            <w:shd w:val="clear" w:color="auto" w:fill="FFFFFF"/>
            <w:vAlign w:val="center"/>
          </w:tcPr>
          <w:p>
            <w:pPr>
              <w:jc w:val="center"/>
            </w:pPr>
            <w:r>
              <w:rPr>
                <w:rFonts w:hint="eastAsia" w:ascii="宋体" w:hAnsi="宋体" w:cs="宋体"/>
              </w:rPr>
              <w:t xml:space="preserve">2023年07月</w:t>
            </w:r>
          </w:p>
        </w:tc>
        <w:tc>
          <w:tcPr>
            <w:tcW w:w="779" w:type="pct"/>
            <w:shd w:val="clear" w:color="auto" w:fill="FFFFFF"/>
            <w:vAlign w:val="center"/>
          </w:tcPr>
          <w:p>
            <w:pPr>
              <w:jc w:val="center"/>
            </w:pPr>
            <w:r>
              <w:rPr>
                <w:rFonts w:hint="eastAsia" w:ascii="宋体" w:hAnsi="宋体" w:cs="宋体"/>
              </w:rPr>
              <w:t xml:space="preserve">2023年11月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12436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10877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11490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11856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1917</w:t>
            </w:r>
          </w:p>
        </w:tc>
        <w:tc>
          <w:tcPr>
            <w:tcW w:w="778" w:type="pct"/>
            <w:shd w:val="clear" w:color="auto" w:fill="FFFFFF"/>
            <w:vAlign w:val="center"/>
          </w:tcPr>
          <w:p>
            <w:pPr>
              <w:jc w:val="center"/>
            </w:pPr>
            <w:r>
              <w:rPr>
                <w:rFonts w:hint="eastAsia" w:ascii="宋体" w:hAnsi="宋体" w:cs="宋体"/>
              </w:rPr>
              <w:t xml:space="preserve">2040</w:t>
            </w:r>
          </w:p>
        </w:tc>
        <w:tc>
          <w:tcPr>
            <w:tcW w:w="779" w:type="pct"/>
            <w:shd w:val="clear" w:color="auto" w:fill="FFFFFF"/>
            <w:vAlign w:val="center"/>
          </w:tcPr>
          <w:p>
            <w:pPr>
              <w:jc w:val="center"/>
            </w:pPr>
            <w:r>
              <w:rPr>
                <w:rFonts w:hint="eastAsia" w:ascii="宋体" w:hAnsi="宋体" w:cs="宋体"/>
              </w:rPr>
              <w:t xml:space="preserve">2072</w:t>
            </w:r>
          </w:p>
        </w:tc>
        <w:tc>
          <w:tcPr>
            <w:tcW w:w="779" w:type="pct"/>
            <w:shd w:val="clear" w:color="auto" w:fill="FFFFFF"/>
            <w:vAlign w:val="center"/>
          </w:tcPr>
          <w:p>
            <w:pPr>
              <w:jc w:val="center"/>
            </w:pPr>
            <w:r>
              <w:rPr>
                <w:rFonts w:hint="eastAsia" w:ascii="宋体" w:hAnsi="宋体" w:cs="宋体"/>
              </w:rPr>
              <w:t xml:space="preserve">2070</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1917/1917</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1917/2040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1917/2070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0.94</w:t>
            </w:r>
          </w:p>
        </w:tc>
        <w:tc>
          <w:tcPr>
            <w:tcW w:w="779" w:type="pct"/>
            <w:shd w:val="clear" w:color="auto" w:fill="FFFFFF"/>
            <w:vAlign w:val="center"/>
          </w:tcPr>
          <w:p>
            <w:pPr>
              <w:jc w:val="center"/>
            </w:pPr>
            <w:r>
              <w:rPr>
                <w:rFonts w:hint="eastAsia" w:ascii="宋体" w:hAnsi="宋体" w:cs="宋体"/>
              </w:rPr>
              <w:t xml:space="preserve">0.925</w:t>
            </w:r>
          </w:p>
        </w:tc>
        <w:tc>
          <w:tcPr>
            <w:tcW w:w="779" w:type="pct"/>
            <w:shd w:val="clear" w:color="auto" w:fill="FFFFFF"/>
            <w:vAlign w:val="center"/>
          </w:tcPr>
          <w:p>
            <w:pPr>
              <w:jc w:val="center"/>
            </w:pPr>
            <w:r>
              <w:rPr>
                <w:rFonts w:hint="eastAsia" w:ascii="宋体" w:hAnsi="宋体" w:cs="宋体"/>
              </w:rPr>
              <w:t xml:space="preserve">0.926</w:t>
            </w:r>
          </w:p>
        </w:tc>
        <w:tc>
          <w:tcPr>
            <w:tcW w:w="779" w:type="pct"/>
            <w:shd w:val="clear" w:color="auto" w:fill="FFFFFF"/>
            <w:vAlign w:val="center"/>
          </w:tcPr>
          <w:p>
            <w:pPr>
              <w:jc w:val="center"/>
            </w:pPr>
            <w:r>
              <w:rPr>
                <w:rFonts w:hint="eastAsia" w:ascii="宋体" w:hAnsi="宋体" w:cs="宋体"/>
              </w:rPr>
              <w:t xml:space="preserve">0.937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备注：在价值时点2024年08月08日</w:t>
      </w:r>
      <w:r>
        <w:rPr>
          <w:rFonts w:hint="eastAsia" w:ascii="宋体" w:hAnsi="宋体" w:cs="宋体"/>
          <w:sz w:val="24"/>
          <w:szCs w:val="24"/>
        </w:rPr>
        <w:t xml:space="preserve">，2024年08月份价格指数尚未公布，本次估价采用2024年07月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354220173"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吴江区黎里镇水城名邸8幢102室叠加住宅标准房基准价格评估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盛世花苑2幢103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天城花园10幢108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盛世花苑10幢103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水城名邸4幢901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223.12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223.54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282.07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347.79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143.39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11856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11690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11109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12436</w:t>
            </w:r>
          </w:p>
        </w:tc>
        <w:tc>
          <w:tcPr>
            <w:tcW w:w="922" w:type="pct"/>
            <w:shd w:val="clear" w:color="auto" w:fill="auto"/>
            <w:vAlign w:val="center"/>
          </w:tcPr>
          <w:p>
            <w:pPr>
              <w:jc w:val="center"/>
              <w:rPr>
                <w:rFonts w:ascii="宋体" w:hAnsi="宋体" w:cs="宋体"/>
              </w:rPr>
            </w:pPr>
            <w:r>
              <w:rPr>
                <w:rFonts w:hint="eastAsia" w:ascii="宋体" w:hAnsi="宋体" w:cs="宋体"/>
              </w:rPr>
              <w:t xml:space="preserve">10877</w:t>
            </w:r>
          </w:p>
        </w:tc>
        <w:tc>
          <w:tcPr>
            <w:tcW w:w="922" w:type="pct"/>
            <w:shd w:val="clear" w:color="auto" w:fill="auto"/>
            <w:vAlign w:val="center"/>
          </w:tcPr>
          <w:p>
            <w:pPr>
              <w:jc w:val="center"/>
              <w:rPr>
                <w:rFonts w:ascii="宋体" w:hAnsi="宋体" w:cs="宋体"/>
              </w:rPr>
            </w:pPr>
            <w:r>
              <w:rPr>
                <w:rFonts w:hint="eastAsia" w:ascii="宋体" w:hAnsi="宋体" w:cs="宋体"/>
              </w:rPr>
              <w:t xml:space="preserve">11490</w:t>
            </w:r>
          </w:p>
        </w:tc>
        <w:tc>
          <w:tcPr>
            <w:tcW w:w="922" w:type="pct"/>
            <w:shd w:val="clear" w:color="auto" w:fill="auto"/>
            <w:vAlign w:val="center"/>
          </w:tcPr>
          <w:p>
            <w:pPr>
              <w:jc w:val="center"/>
              <w:rPr>
                <w:rFonts w:ascii="宋体" w:hAnsi="宋体" w:cs="宋体"/>
              </w:rPr>
            </w:pPr>
            <w:r>
              <w:rPr>
                <w:rFonts w:hint="eastAsia" w:ascii="宋体" w:hAnsi="宋体" w:cs="宋体"/>
              </w:rPr>
              <w:t xml:space="preserve">11856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0.94</w:t>
            </w:r>
          </w:p>
        </w:tc>
        <w:tc>
          <w:tcPr>
            <w:tcW w:w="922" w:type="pct"/>
            <w:shd w:val="clear" w:color="auto" w:fill="auto"/>
            <w:vAlign w:val="center"/>
          </w:tcPr>
          <w:p>
            <w:pPr>
              <w:jc w:val="center"/>
              <w:rPr>
                <w:rFonts w:ascii="宋体" w:hAnsi="宋体" w:cs="宋体"/>
              </w:rPr>
            </w:pPr>
            <w:r>
              <w:rPr>
                <w:rFonts w:hint="eastAsia" w:ascii="宋体" w:hAnsi="宋体" w:cs="宋体"/>
              </w:rPr>
              <w:t xml:space="preserve">0.925</w:t>
            </w:r>
          </w:p>
        </w:tc>
        <w:tc>
          <w:tcPr>
            <w:tcW w:w="922" w:type="pct"/>
            <w:shd w:val="clear" w:color="auto" w:fill="auto"/>
            <w:vAlign w:val="center"/>
          </w:tcPr>
          <w:p>
            <w:pPr>
              <w:jc w:val="center"/>
              <w:rPr>
                <w:rFonts w:ascii="宋体" w:hAnsi="宋体" w:cs="宋体"/>
              </w:rPr>
            </w:pPr>
            <w:r>
              <w:rPr>
                <w:rFonts w:hint="eastAsia" w:ascii="宋体" w:hAnsi="宋体" w:cs="宋体"/>
              </w:rPr>
              <w:t xml:space="preserve">0.926</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w:t>
            </w:r>
          </w:p>
        </w:tc>
        <w:tc>
          <w:tcPr>
            <w:tcW w:w="922" w:type="pct"/>
            <w:shd w:val="clear" w:color="auto" w:fill="auto"/>
            <w:vAlign w:val="center"/>
          </w:tcPr>
          <w:p>
            <w:pPr>
              <w:jc w:val="center"/>
              <w:rPr>
                <w:rFonts w:ascii="宋体" w:hAnsi="宋体" w:cs="宋体"/>
              </w:rPr>
            </w:pPr>
            <w:r>
              <w:rPr>
                <w:rFonts w:hint="eastAsia" w:ascii="宋体" w:hAnsi="宋体" w:cs="宋体"/>
              </w:rPr>
              <w:t xml:space="preserve">0.9113</w:t>
            </w:r>
          </w:p>
        </w:tc>
        <w:tc>
          <w:tcPr>
            <w:tcW w:w="922" w:type="pct"/>
            <w:shd w:val="clear" w:color="auto" w:fill="auto"/>
            <w:vAlign w:val="center"/>
          </w:tcPr>
          <w:p>
            <w:pPr>
              <w:jc w:val="center"/>
              <w:rPr>
                <w:rFonts w:ascii="宋体" w:hAnsi="宋体" w:cs="宋体"/>
              </w:rPr>
            </w:pPr>
            <w:r>
              <w:rPr>
                <w:rFonts w:hint="eastAsia" w:ascii="宋体" w:hAnsi="宋体" w:cs="宋体"/>
              </w:rPr>
              <w:t xml:space="preserve">0.926</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11690</w:t>
            </w:r>
          </w:p>
        </w:tc>
        <w:tc>
          <w:tcPr>
            <w:tcW w:w="922" w:type="pct"/>
            <w:shd w:val="clear" w:color="auto" w:fill="auto"/>
            <w:vAlign w:val="center"/>
          </w:tcPr>
          <w:p>
            <w:pPr>
              <w:jc w:val="center"/>
              <w:rPr>
                <w:rFonts w:ascii="宋体" w:hAnsi="宋体" w:cs="宋体"/>
              </w:rPr>
            </w:pPr>
            <w:r>
              <w:rPr>
                <w:rFonts w:hint="eastAsia" w:ascii="宋体" w:hAnsi="宋体" w:cs="宋体"/>
              </w:rPr>
              <w:t xml:space="preserve">9912</w:t>
            </w:r>
          </w:p>
        </w:tc>
        <w:tc>
          <w:tcPr>
            <w:tcW w:w="922" w:type="pct"/>
            <w:shd w:val="clear" w:color="auto" w:fill="auto"/>
            <w:vAlign w:val="center"/>
          </w:tcPr>
          <w:p>
            <w:pPr>
              <w:jc w:val="center"/>
              <w:rPr>
                <w:rFonts w:ascii="宋体" w:hAnsi="宋体" w:cs="宋体"/>
              </w:rPr>
            </w:pPr>
            <w:r>
              <w:rPr>
                <w:rFonts w:hint="eastAsia" w:ascii="宋体" w:hAnsi="宋体" w:cs="宋体"/>
              </w:rPr>
              <w:t xml:space="preserve">10640</w:t>
            </w:r>
          </w:p>
        </w:tc>
        <w:tc>
          <w:tcPr>
            <w:tcW w:w="922" w:type="pct"/>
            <w:shd w:val="clear" w:color="auto" w:fill="auto"/>
            <w:vAlign w:val="center"/>
          </w:tcPr>
          <w:p>
            <w:pPr>
              <w:jc w:val="center"/>
              <w:rPr>
                <w:rFonts w:ascii="宋体" w:hAnsi="宋体" w:cs="宋体"/>
              </w:rPr>
            </w:pPr>
            <w:r>
              <w:rPr>
                <w:rFonts w:hint="eastAsia" w:ascii="宋体" w:hAnsi="宋体" w:cs="宋体"/>
              </w:rPr>
              <w:t xml:space="preserve">11109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11690</w:t>
            </w:r>
          </w:p>
        </w:tc>
        <w:tc>
          <w:tcPr>
            <w:tcW w:w="922" w:type="pct"/>
            <w:shd w:val="clear" w:color="auto" w:fill="auto"/>
            <w:vAlign w:val="center"/>
          </w:tcPr>
          <w:p>
            <w:pPr>
              <w:jc w:val="center"/>
              <w:rPr>
                <w:rFonts w:ascii="宋体" w:hAnsi="宋体" w:cs="宋体"/>
              </w:rPr>
            </w:pPr>
            <w:r>
              <w:rPr>
                <w:rFonts w:hint="eastAsia" w:ascii="宋体" w:hAnsi="宋体" w:cs="宋体"/>
              </w:rPr>
              <w:t xml:space="preserve">9912</w:t>
            </w:r>
          </w:p>
        </w:tc>
        <w:tc>
          <w:tcPr>
            <w:tcW w:w="922" w:type="pct"/>
            <w:shd w:val="clear" w:color="auto" w:fill="auto"/>
            <w:vAlign w:val="center"/>
          </w:tcPr>
          <w:p>
            <w:pPr>
              <w:jc w:val="center"/>
              <w:rPr>
                <w:rFonts w:ascii="宋体" w:hAnsi="宋体" w:cs="宋体"/>
              </w:rPr>
            </w:pPr>
            <w:r>
              <w:rPr>
                <w:rFonts w:hint="eastAsia" w:ascii="宋体" w:hAnsi="宋体" w:cs="宋体"/>
              </w:rPr>
              <w:t xml:space="preserve">10640</w:t>
            </w:r>
          </w:p>
        </w:tc>
        <w:tc>
          <w:tcPr>
            <w:tcW w:w="922" w:type="pct"/>
            <w:shd w:val="clear" w:color="auto" w:fill="auto"/>
            <w:vAlign w:val="center"/>
          </w:tcPr>
          <w:p>
            <w:pPr>
              <w:jc w:val="center"/>
              <w:rPr>
                <w:rFonts w:ascii="宋体" w:hAnsi="宋体" w:cs="宋体"/>
              </w:rPr>
            </w:pPr>
            <w:r>
              <w:rPr>
                <w:rFonts w:hint="eastAsia" w:ascii="宋体" w:hAnsi="宋体" w:cs="宋体"/>
              </w:rPr>
              <w:t xml:space="preserve">11109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10838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F32050920230019744</w:t>
            </w:r>
          </w:p>
        </w:tc>
        <w:tc>
          <w:tcPr>
            <w:tcW w:w="1842" w:type="dxa"/>
            <w:vAlign w:val="center"/>
          </w:tcPr>
          <w:p>
            <w:pPr>
              <w:jc w:val="center"/>
            </w:pPr>
            <w:r>
              <w:rPr>
                <w:rFonts w:hint="eastAsia" w:ascii="宋体" w:hAnsi="宋体" w:cs="宋体"/>
              </w:rPr>
              <w:t xml:space="preserve">F32050920230031760</w:t>
            </w:r>
          </w:p>
        </w:tc>
        <w:tc>
          <w:tcPr>
            <w:tcW w:w="1843" w:type="dxa"/>
            <w:vAlign w:val="center"/>
          </w:tcPr>
          <w:p>
            <w:pPr>
              <w:jc w:val="center"/>
            </w:pPr>
            <w:r>
              <w:rPr>
                <w:rFonts w:hint="eastAsia" w:ascii="宋体" w:hAnsi="宋体" w:cs="宋体"/>
              </w:rPr>
              <w:t xml:space="preserve">W202307030002</w:t>
            </w:r>
          </w:p>
        </w:tc>
        <w:tc>
          <w:tcPr>
            <w:tcW w:w="1985" w:type="dxa"/>
            <w:vAlign w:val="center"/>
          </w:tcPr>
          <w:p>
            <w:pPr>
              <w:jc w:val="center"/>
            </w:pPr>
            <w:r>
              <w:rPr>
                <w:rFonts w:hint="eastAsia" w:ascii="宋体" w:hAnsi="宋体" w:cs="宋体"/>
              </w:rPr>
              <w:t xml:space="preserve">s202310060037</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盛世花苑2幢103</w:t>
            </w:r>
          </w:p>
        </w:tc>
        <w:tc>
          <w:tcPr>
            <w:tcW w:w="1842" w:type="dxa"/>
            <w:vAlign w:val="center"/>
          </w:tcPr>
          <w:p>
            <w:pPr>
              <w:jc w:val="center"/>
            </w:pPr>
            <w:r>
              <w:rPr>
                <w:rFonts w:hint="eastAsia" w:ascii="宋体" w:hAnsi="宋体" w:cs="宋体"/>
              </w:rPr>
              <w:t xml:space="preserve">天城花园10幢108</w:t>
            </w:r>
          </w:p>
        </w:tc>
        <w:tc>
          <w:tcPr>
            <w:tcW w:w="1843" w:type="dxa"/>
            <w:vAlign w:val="center"/>
          </w:tcPr>
          <w:p>
            <w:pPr>
              <w:jc w:val="center"/>
            </w:pPr>
            <w:r>
              <w:rPr>
                <w:rFonts w:hint="eastAsia" w:ascii="宋体" w:hAnsi="宋体" w:cs="宋体"/>
              </w:rPr>
              <w:t xml:space="preserve">盛世花苑10幢103</w:t>
            </w:r>
          </w:p>
        </w:tc>
        <w:tc>
          <w:tcPr>
            <w:tcW w:w="1985" w:type="dxa"/>
            <w:vAlign w:val="center"/>
          </w:tcPr>
          <w:p>
            <w:pPr>
              <w:jc w:val="center"/>
            </w:pPr>
            <w:r>
              <w:rPr>
                <w:rFonts w:hint="eastAsia" w:ascii="宋体" w:hAnsi="宋体" w:cs="宋体"/>
              </w:rPr>
              <w:t xml:space="preserve">水城名邸4幢901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盛世花苑2幢103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天城花园10幢108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盛世花苑10幢103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水城名邸4幢901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