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苏吴地评税字(2024)吴江第00979号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苏河鼎城双拼</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2024年09月27日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估价对象位于苏州市吴江区区域范围内的苏河鼎城住宅小区双拼存量房。该小区内的物业类型包括：</w:t>
      </w:r>
      <w:r>
        <w:rPr>
          <w:rFonts w:ascii="宋体"/>
          <w:sz w:val="24"/>
        </w:rPr>
        <w:t xml:space="preserve">普通多层、小高层、高层、叠加、联排、双拼、独栋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月修订版），结合估价人员现场查勘，选取苏河鼎城</w:t>
      </w:r>
      <w:r>
        <w:rPr>
          <w:rFonts w:ascii="宋体"/>
          <w:sz w:val="24"/>
        </w:rPr>
        <w:t xml:space="preserve">41幢102室</w:t>
      </w:r>
      <w:r>
        <w:rPr>
          <w:rFonts w:hint="eastAsia" w:ascii="宋体"/>
          <w:sz w:val="24"/>
        </w:rPr>
        <w:t xml:space="preserve">为该小区</w:t>
      </w:r>
      <w:r>
        <w:rPr>
          <w:rFonts w:ascii="宋体"/>
          <w:sz w:val="24"/>
        </w:rPr>
        <w:t xml:space="preserve">钢混结构</w:t>
      </w:r>
      <w:r>
        <w:rPr>
          <w:rFonts w:hint="eastAsia" w:ascii="宋体"/>
          <w:sz w:val="24"/>
        </w:rPr>
        <w:t xml:space="preserve">双拼的标准样本房，所在楼层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285.56</w:t>
      </w:r>
      <w:r>
        <w:rPr>
          <w:rFonts w:hint="eastAsia" w:ascii="宋体"/>
          <w:sz w:val="24"/>
        </w:rPr>
        <w:t xml:space="preserve">平方米，南北朝向，</w:t>
      </w:r>
      <w:r>
        <w:rPr>
          <w:rFonts w:ascii="宋体"/>
          <w:sz w:val="24"/>
        </w:rPr>
        <w:t xml:space="preserve">，钢混结构</w:t>
      </w:r>
      <w:r>
        <w:rPr>
          <w:rFonts w:hint="eastAsia" w:ascii="宋体"/>
          <w:sz w:val="24"/>
        </w:rPr>
        <w:t xml:space="preserve">，设计用途为成套住宅，建成于</w:t>
      </w:r>
      <w:r>
        <w:rPr>
          <w:rFonts w:ascii="宋体"/>
          <w:sz w:val="24"/>
        </w:rPr>
        <w:t xml:space="preserve">2013</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2079年10月21日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2024年09月23日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2024年09月23日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壹万柒仟叁佰肆拾壹元整</w:t>
      </w:r>
      <w:r>
        <w:rPr>
          <w:rFonts w:hint="eastAsia" w:ascii="宋体" w:hAnsi="宋体"/>
          <w:b/>
          <w:bCs/>
          <w:sz w:val="24"/>
        </w:rPr>
        <w:t xml:space="preserve">（RMB</w:t>
      </w:r>
      <w:r>
        <w:rPr>
          <w:rFonts w:ascii="宋体" w:hAnsi="宋体"/>
          <w:b/>
          <w:bCs/>
          <w:sz w:val="24"/>
        </w:rPr>
        <w:t xml:space="preserve"> 17341</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2024年09月27日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2024年09月27日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2024年09月27日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2024年09月27日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5.本报告作为整体使用时有效。若房地产市场无重大波动，本估价报告自出具日起一年内有效，从2024年09月27日至</w:t>
      </w:r>
      <w:r>
        <w:rPr>
          <w:rFonts w:ascii="宋体" w:hAnsi="宋体"/>
          <w:sz w:val="24"/>
        </w:rPr>
        <w:t xml:space="preserve">2025年09月26日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估价对象为苏河鼎城</w:t>
      </w:r>
      <w:r>
        <w:rPr>
          <w:rFonts w:ascii="宋体" w:hAnsi="宋体"/>
          <w:sz w:val="24"/>
        </w:rPr>
        <w:t xml:space="preserve">41幢102室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梅石路西侧</w:t>
      </w:r>
      <w:r>
        <w:rPr>
          <w:rFonts w:hint="eastAsia" w:hAnsi="宋体"/>
          <w:sz w:val="24"/>
        </w:rPr>
        <w:t xml:space="preserve">的“苏河鼎城”住宅区内。</w:t>
      </w:r>
      <w:r>
        <w:rPr>
          <w:rFonts w:hint="eastAsia" w:ascii="宋体" w:hAnsi="宋体"/>
          <w:sz w:val="24"/>
        </w:rPr>
        <w:t xml:space="preserve">估价对象东至</w:t>
      </w:r>
      <w:r>
        <w:rPr>
          <w:rFonts w:ascii="宋体" w:hAnsi="宋体"/>
          <w:sz w:val="24"/>
          <w:szCs w:val="24"/>
        </w:rPr>
        <w:t xml:space="preserve">梅石路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体育路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苏州河路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江厍路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285.56</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梅石路西侧</w:t>
      </w:r>
      <w:r>
        <w:rPr>
          <w:rFonts w:hint="eastAsia" w:hAnsi="宋体"/>
          <w:sz w:val="24"/>
        </w:rPr>
        <w:t xml:space="preserve">的“苏河鼎城”住宅区内。该小区内的物业类型包括：</w:t>
      </w:r>
      <w:r>
        <w:rPr>
          <w:rFonts w:hAnsi="宋体"/>
          <w:sz w:val="24"/>
        </w:rPr>
        <w:t xml:space="preserve">普通多层、小高层、高层、叠加、联排、双拼、独栋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苏河鼎城</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“苏河鼎城”小区</w:t>
            </w:r>
            <w:r>
              <w:rPr>
                <w:rFonts w:ascii="Cambria" w:hAnsi="宋体" w:eastAsia="黑体" w:cs="Times New Roman" w:asciiTheme="majorHAnsi" w:cstheme="majorBidi"/>
                <w:sz w:val="15"/>
                <w:szCs w:val="15"/>
              </w:rPr>
              <w:t xml:space="preserve">41幢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由于苏河鼎城市场交易不活跃，片区内可选案例较少，因此选择的案例A，B，C，D，距离在3公里以外。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苏河鼎城住宅2024年9月挂牌均价32026元/平方米，较年初持平。待评估二手房住宅近22个月（2022年12月-2024年09月）挂牌均价波动幅度较小，价格维持在25217-32026元/平方米之间。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均价说明：苏河鼎城小区物业类型包括：普通多层、小高层、高层、叠加、联排、双拼、独栋,房源均价为:32026元/平方米，包含毛坯价值以及附带装修价值。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该房屋为3层住宅楼的第1-3层，建于2013年，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285.56</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2079年10月21日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2024年09月23日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壹万柒仟叁佰肆拾壹元整</w:t>
      </w:r>
      <w:r>
        <w:rPr>
          <w:rFonts w:hint="eastAsia" w:ascii="宋体" w:hAnsi="宋体"/>
          <w:b/>
          <w:bCs/>
          <w:sz w:val="24"/>
        </w:rPr>
        <w:t xml:space="preserve">（RMB </w:t>
      </w:r>
      <w:r>
        <w:rPr>
          <w:rFonts w:ascii="宋体" w:hAnsi="宋体"/>
          <w:b/>
          <w:bCs/>
          <w:sz w:val="24"/>
        </w:rPr>
        <w:t xml:space="preserve">17341</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495.20</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17341</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2024年09月27日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2024年09月27日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本次实地查勘期为2024年09月23日，并于当日完成现场查勘。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2024年09月23日</w:t>
      </w:r>
      <w:r>
        <w:rPr>
          <w:rFonts w:hint="eastAsia" w:ascii="宋体"/>
          <w:sz w:val="24"/>
        </w:rPr>
        <w:t xml:space="preserve">至2024年09月27日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估价对象为苏州市吴江区“苏河鼎城”住宅区内的</w:t>
      </w:r>
      <w:r>
        <w:rPr>
          <w:rFonts w:hAnsi="宋体"/>
          <w:sz w:val="24"/>
        </w:rPr>
        <w:t xml:space="preserve">双拼</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位于苏州河路东侧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苏州河路东侧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附近有721路等公交线路</w:t>
      </w:r>
      <w:r>
        <w:rPr>
          <w:rFonts w:hint="eastAsia" w:hAnsi="宋体"/>
          <w:sz w:val="24"/>
        </w:rPr>
        <w:t xml:space="preserve">，</w:t>
      </w:r>
      <w:r>
        <w:rPr>
          <w:rFonts w:hAnsi="宋体"/>
          <w:sz w:val="24"/>
        </w:rPr>
        <w:t xml:space="preserve">至公交站点的距离约为50米，公交班次平均隔10分钟有一辆汽车通过。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明珠商城</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中国建设银行      </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绿色生鲜振泰小区店</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吴江市童博幼儿园</w:t>
      </w:r>
      <w:r>
        <w:rPr>
          <w:rFonts w:hint="eastAsia" w:ascii="宋体" w:hAnsi="宋体" w:eastAsia="宋体" w:asciiTheme="minorEastAsia" w:hAnsiTheme="minorEastAsia" w:eastAsiaTheme="minorEastAsia"/>
          <w:sz w:val="24"/>
        </w:rPr>
        <w:t xml:space="preserve">、</w:t>
      </w:r>
      <w:r>
        <w:rPr>
          <w:rFonts w:hAnsi="宋体"/>
          <w:sz w:val="24"/>
        </w:rPr>
        <w:t xml:space="preserve">吴江市实验小学(爱德校区)</w:t>
      </w:r>
      <w:r>
        <w:rPr>
          <w:rFonts w:hint="eastAsia" w:hAnsi="宋体"/>
          <w:sz w:val="24"/>
        </w:rPr>
        <w:t xml:space="preserve">、</w:t>
      </w:r>
      <w:r>
        <w:rPr>
          <w:rFonts w:hAnsi="宋体"/>
          <w:sz w:val="24"/>
        </w:rPr>
        <w:t xml:space="preserve">吴江区实验初级中学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2079年10月21日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梅石路</w:t>
      </w:r>
      <w:r>
        <w:rPr>
          <w:rFonts w:hint="eastAsia" w:ascii="宋体" w:hAnsi="宋体"/>
          <w:sz w:val="24"/>
        </w:rPr>
        <w:t xml:space="preserve">，南至</w:t>
      </w:r>
      <w:r>
        <w:rPr>
          <w:rFonts w:ascii="宋体" w:hAnsi="宋体"/>
          <w:sz w:val="24"/>
        </w:rPr>
        <w:t xml:space="preserve">体育路</w:t>
      </w:r>
      <w:r>
        <w:rPr>
          <w:rFonts w:hint="eastAsia" w:ascii="宋体" w:hAnsi="宋体"/>
          <w:sz w:val="24"/>
        </w:rPr>
        <w:t xml:space="preserve">，西至</w:t>
      </w:r>
      <w:r>
        <w:rPr>
          <w:rFonts w:ascii="宋体" w:hAnsi="宋体"/>
          <w:sz w:val="24"/>
        </w:rPr>
        <w:t xml:space="preserve">苏州河路</w:t>
      </w:r>
      <w:r>
        <w:rPr>
          <w:rFonts w:hint="eastAsia" w:ascii="宋体" w:hAnsi="宋体"/>
          <w:sz w:val="24"/>
        </w:rPr>
        <w:t xml:space="preserve">，北至</w:t>
      </w:r>
      <w:r>
        <w:rPr>
          <w:rFonts w:ascii="宋体" w:hAnsi="宋体"/>
          <w:sz w:val="24"/>
        </w:rPr>
        <w:t xml:space="preserve">江厍路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估价对象为坐落于苏州市吴江区苏河鼎城</w:t>
      </w:r>
      <w:r>
        <w:t xml:space="preserve"> </w:t>
      </w:r>
      <w:r>
        <w:rPr>
          <w:rFonts w:ascii="宋体" w:hAnsi="宋体"/>
          <w:kern w:val="2"/>
          <w:sz w:val="24"/>
        </w:rPr>
        <w:t xml:space="preserve">41幢102室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估价对象为双拼建筑，建筑面积为</w:t>
      </w:r>
      <w:r>
        <w:rPr>
          <w:rFonts w:hAnsi="宋体"/>
          <w:sz w:val="24"/>
        </w:rPr>
        <w:t xml:space="preserve">285.56</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五室三厅三卫</w:t>
      </w:r>
      <w:r>
        <w:rPr>
          <w:rFonts w:hint="eastAsia" w:hAnsi="宋体"/>
          <w:sz w:val="24"/>
        </w:rPr>
        <w:t xml:space="preserve">，</w:t>
      </w:r>
      <w:r>
        <w:rPr>
          <w:rFonts w:hAnsi="宋体"/>
          <w:sz w:val="24"/>
        </w:rPr>
        <w:t xml:space="preserve">四间朝南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估价对象建成于2013年，基础较为稳固，未见沉降；墙面、地面、门窗等保养完好，综合保养成新度为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苏河鼎城住宅2024年9月挂牌均价32026元/平方米，较年初持平。待评估二手房住宅近22个月（2022年12月-2024年09月）挂牌均价波动幅度较小，价格维持在25217-32026元/平方米之间。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苏州市吴江区苏河鼎城</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F32050920230006868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F32050920220003514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s202309050143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w202301110014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吴江区松陵镇苏河鼎城41幢102室双拼住宅标准房基准价格评估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中粮本源60幢</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同里湖嘉苑51幢102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太阳湖大花园钻石湾别墅315幢103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同里湖嘉苑152号</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285.56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380.95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345.15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526.08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337.72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四间朝南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西边户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2024年09月23日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18375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18354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17108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17766</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指数，吴江区2023年09月至2024年08月住宅月度价格指数表为：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2024年08月23日</w:t>
            </w:r>
          </w:p>
        </w:tc>
        <w:tc>
          <w:tcPr>
            <w:tcW w:w="778"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2022年12月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2023年02月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18375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18354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17108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17766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1913</w:t>
            </w:r>
          </w:p>
        </w:tc>
        <w:tc>
          <w:tcPr>
            <w:tcW w:w="778"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1935</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1913/1913</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1913/1973</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0.97</w:t>
            </w:r>
          </w:p>
        </w:tc>
        <w:tc>
          <w:tcPr>
            <w:tcW w:w="779" w:type="pct"/>
            <w:shd w:val="clear" w:color="auto" w:fill="FFFFFF"/>
            <w:vAlign w:val="center"/>
          </w:tcPr>
          <w:p>
            <w:pPr>
              <w:jc w:val="center"/>
            </w:pPr>
            <w:r>
              <w:rPr>
                <w:rFonts w:hint="eastAsia" w:ascii="宋体" w:hAnsi="宋体" w:cs="宋体"/>
              </w:rPr>
              <w:t xml:space="preserve">0.989</w:t>
            </w:r>
          </w:p>
        </w:tc>
        <w:tc>
          <w:tcPr>
            <w:tcW w:w="779" w:type="pct"/>
            <w:shd w:val="clear" w:color="auto" w:fill="FFFFFF"/>
            <w:vAlign w:val="center"/>
          </w:tcPr>
          <w:p>
            <w:pPr>
              <w:jc w:val="center"/>
            </w:pPr>
            <w:r>
              <w:rPr>
                <w:rFonts w:hint="eastAsia" w:ascii="宋体" w:hAnsi="宋体" w:cs="宋体"/>
              </w:rPr>
              <w:t xml:space="preserve">0.935</w:t>
            </w:r>
          </w:p>
        </w:tc>
        <w:tc>
          <w:tcPr>
            <w:tcW w:w="779" w:type="pct"/>
            <w:shd w:val="clear" w:color="auto" w:fill="FFFFFF"/>
            <w:vAlign w:val="center"/>
          </w:tcPr>
          <w:p>
            <w:pPr>
              <w:jc w:val="center"/>
            </w:pPr>
            <w:r>
              <w:rPr>
                <w:rFonts w:hint="eastAsia" w:ascii="宋体" w:hAnsi="宋体" w:cs="宋体"/>
              </w:rPr>
              <w:t xml:space="preserve">0.97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备注：在价值时点2024年09月23日</w:t>
      </w:r>
      <w:r>
        <w:rPr>
          <w:rFonts w:hint="eastAsia" w:ascii="宋体" w:hAnsi="宋体" w:cs="宋体"/>
          <w:sz w:val="24"/>
          <w:szCs w:val="24"/>
        </w:rPr>
        <w:t xml:space="preserve">，2024年09月份价格指数尚未公布，本次估价采用2024年08月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713140642"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吴江区松陵镇苏河鼎城41幢102室双拼住宅标准房基准价格评估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中粮本源60幢</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同里湖嘉苑51幢102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太阳湖大花园钻石湾别墅315幢103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同里湖嘉苑152号</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285.56</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380.95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345.15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526.08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337.72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109.06</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0.9798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18375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18354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17766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17824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18336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15798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17407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18375</w:t>
            </w:r>
          </w:p>
        </w:tc>
        <w:tc>
          <w:tcPr>
            <w:tcW w:w="922" w:type="pct"/>
            <w:shd w:val="clear" w:color="auto" w:fill="auto"/>
            <w:vAlign w:val="center"/>
          </w:tcPr>
          <w:p>
            <w:pPr>
              <w:jc w:val="center"/>
              <w:rPr>
                <w:rFonts w:ascii="宋体" w:hAnsi="宋体" w:cs="宋体"/>
              </w:rPr>
            </w:pPr>
            <w:r>
              <w:rPr>
                <w:rFonts w:hint="eastAsia" w:ascii="宋体" w:hAnsi="宋体" w:cs="宋体"/>
              </w:rPr>
              <w:t xml:space="preserve">18354</w:t>
            </w:r>
          </w:p>
        </w:tc>
        <w:tc>
          <w:tcPr>
            <w:tcW w:w="922" w:type="pct"/>
            <w:shd w:val="clear" w:color="auto" w:fill="auto"/>
            <w:vAlign w:val="center"/>
          </w:tcPr>
          <w:p>
            <w:pPr>
              <w:jc w:val="center"/>
              <w:rPr>
                <w:rFonts w:ascii="宋体" w:hAnsi="宋体" w:cs="宋体"/>
              </w:rPr>
            </w:pPr>
            <w:r>
              <w:rPr>
                <w:rFonts w:hint="eastAsia" w:ascii="宋体" w:hAnsi="宋体" w:cs="宋体"/>
              </w:rPr>
              <w:t xml:space="preserve">17108</w:t>
            </w:r>
          </w:p>
        </w:tc>
        <w:tc>
          <w:tcPr>
            <w:tcW w:w="922" w:type="pct"/>
            <w:shd w:val="clear" w:color="auto" w:fill="auto"/>
            <w:vAlign w:val="center"/>
          </w:tcPr>
          <w:p>
            <w:pPr>
              <w:jc w:val="center"/>
              <w:rPr>
                <w:rFonts w:ascii="宋体" w:hAnsi="宋体" w:cs="宋体"/>
              </w:rPr>
            </w:pPr>
            <w:r>
              <w:rPr>
                <w:rFonts w:hint="eastAsia" w:ascii="宋体" w:hAnsi="宋体" w:cs="宋体"/>
              </w:rPr>
              <w:t xml:space="preserve">17766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0.989</w:t>
            </w:r>
          </w:p>
        </w:tc>
        <w:tc>
          <w:tcPr>
            <w:tcW w:w="922" w:type="pct"/>
            <w:shd w:val="clear" w:color="auto" w:fill="auto"/>
            <w:vAlign w:val="center"/>
          </w:tcPr>
          <w:p>
            <w:pPr>
              <w:jc w:val="center"/>
              <w:rPr>
                <w:rFonts w:ascii="宋体" w:hAnsi="宋体" w:cs="宋体"/>
              </w:rPr>
            </w:pPr>
            <w:r>
              <w:rPr>
                <w:rFonts w:hint="eastAsia" w:ascii="宋体" w:hAnsi="宋体" w:cs="宋体"/>
              </w:rPr>
              <w:t xml:space="preserve">0.935</w:t>
            </w:r>
          </w:p>
        </w:tc>
        <w:tc>
          <w:tcPr>
            <w:tcW w:w="922" w:type="pct"/>
            <w:shd w:val="clear" w:color="auto" w:fill="auto"/>
            <w:vAlign w:val="center"/>
          </w:tcPr>
          <w:p>
            <w:pPr>
              <w:jc w:val="center"/>
              <w:rPr>
                <w:rFonts w:ascii="宋体" w:hAnsi="宋体" w:cs="宋体"/>
              </w:rPr>
            </w:pPr>
            <w:r>
              <w:rPr>
                <w:rFonts w:hint="eastAsia" w:ascii="宋体" w:hAnsi="宋体" w:cs="宋体"/>
              </w:rPr>
              <w:t xml:space="preserve">0.97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0.9351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0.9798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17824</w:t>
            </w:r>
          </w:p>
        </w:tc>
        <w:tc>
          <w:tcPr>
            <w:tcW w:w="922" w:type="pct"/>
            <w:shd w:val="clear" w:color="auto" w:fill="auto"/>
            <w:vAlign w:val="center"/>
          </w:tcPr>
          <w:p>
            <w:pPr>
              <w:jc w:val="center"/>
              <w:rPr>
                <w:rFonts w:ascii="宋体" w:hAnsi="宋体" w:cs="宋体"/>
              </w:rPr>
            </w:pPr>
            <w:r>
              <w:rPr>
                <w:rFonts w:hint="eastAsia" w:ascii="宋体" w:hAnsi="宋体" w:cs="宋体"/>
              </w:rPr>
              <w:t xml:space="preserve">18336</w:t>
            </w:r>
          </w:p>
        </w:tc>
        <w:tc>
          <w:tcPr>
            <w:tcW w:w="922" w:type="pct"/>
            <w:shd w:val="clear" w:color="auto" w:fill="auto"/>
            <w:vAlign w:val="center"/>
          </w:tcPr>
          <w:p>
            <w:pPr>
              <w:jc w:val="center"/>
              <w:rPr>
                <w:rFonts w:ascii="宋体" w:hAnsi="宋体" w:cs="宋体"/>
              </w:rPr>
            </w:pPr>
            <w:r>
              <w:rPr>
                <w:rFonts w:hint="eastAsia" w:ascii="宋体" w:hAnsi="宋体" w:cs="宋体"/>
              </w:rPr>
              <w:t xml:space="preserve">15998</w:t>
            </w:r>
          </w:p>
        </w:tc>
        <w:tc>
          <w:tcPr>
            <w:tcW w:w="922" w:type="pct"/>
            <w:shd w:val="clear" w:color="auto" w:fill="auto"/>
            <w:vAlign w:val="center"/>
          </w:tcPr>
          <w:p>
            <w:pPr>
              <w:jc w:val="center"/>
              <w:rPr>
                <w:rFonts w:ascii="宋体" w:hAnsi="宋体" w:cs="宋体"/>
              </w:rPr>
            </w:pPr>
            <w:r>
              <w:rPr>
                <w:rFonts w:hint="eastAsia" w:ascii="宋体" w:hAnsi="宋体" w:cs="宋体"/>
              </w:rPr>
              <w:t xml:space="preserve">17407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17824</w:t>
            </w:r>
          </w:p>
        </w:tc>
        <w:tc>
          <w:tcPr>
            <w:tcW w:w="922" w:type="pct"/>
            <w:shd w:val="clear" w:color="auto" w:fill="auto"/>
            <w:vAlign w:val="center"/>
          </w:tcPr>
          <w:p>
            <w:pPr>
              <w:jc w:val="center"/>
              <w:rPr>
                <w:rFonts w:ascii="宋体" w:hAnsi="宋体" w:cs="宋体"/>
              </w:rPr>
            </w:pPr>
            <w:r>
              <w:rPr>
                <w:rFonts w:hint="eastAsia" w:ascii="宋体" w:hAnsi="宋体" w:cs="宋体"/>
              </w:rPr>
              <w:t xml:space="preserve">18336</w:t>
            </w:r>
          </w:p>
        </w:tc>
        <w:tc>
          <w:tcPr>
            <w:tcW w:w="922" w:type="pct"/>
            <w:shd w:val="clear" w:color="auto" w:fill="auto"/>
            <w:vAlign w:val="center"/>
          </w:tcPr>
          <w:p>
            <w:pPr>
              <w:jc w:val="center"/>
              <w:rPr>
                <w:rFonts w:ascii="宋体" w:hAnsi="宋体" w:cs="宋体"/>
              </w:rPr>
            </w:pPr>
            <w:r>
              <w:rPr>
                <w:rFonts w:hint="eastAsia" w:ascii="宋体" w:hAnsi="宋体" w:cs="宋体"/>
              </w:rPr>
              <w:t xml:space="preserve">15798</w:t>
            </w:r>
          </w:p>
        </w:tc>
        <w:tc>
          <w:tcPr>
            <w:tcW w:w="922" w:type="pct"/>
            <w:shd w:val="clear" w:color="auto" w:fill="auto"/>
            <w:vAlign w:val="center"/>
          </w:tcPr>
          <w:p>
            <w:pPr>
              <w:jc w:val="center"/>
              <w:rPr>
                <w:rFonts w:ascii="宋体" w:hAnsi="宋体" w:cs="宋体"/>
              </w:rPr>
            </w:pPr>
            <w:r>
              <w:rPr>
                <w:rFonts w:hint="eastAsia" w:ascii="宋体" w:hAnsi="宋体" w:cs="宋体"/>
              </w:rPr>
              <w:t xml:space="preserve">17407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17341</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F32050920230006868</w:t>
            </w:r>
          </w:p>
        </w:tc>
        <w:tc>
          <w:tcPr>
            <w:tcW w:w="1842" w:type="dxa"/>
            <w:vAlign w:val="center"/>
          </w:tcPr>
          <w:p>
            <w:pPr>
              <w:jc w:val="center"/>
            </w:pPr>
            <w:r>
              <w:rPr>
                <w:rFonts w:hint="eastAsia" w:ascii="宋体" w:hAnsi="宋体" w:cs="宋体"/>
              </w:rPr>
              <w:t xml:space="preserve">F32050920220003514</w:t>
            </w:r>
          </w:p>
        </w:tc>
        <w:tc>
          <w:tcPr>
            <w:tcW w:w="1843" w:type="dxa"/>
            <w:vAlign w:val="center"/>
          </w:tcPr>
          <w:p>
            <w:pPr>
              <w:jc w:val="center"/>
            </w:pPr>
            <w:r>
              <w:rPr>
                <w:rFonts w:hint="eastAsia" w:ascii="宋体" w:hAnsi="宋体" w:cs="宋体"/>
              </w:rPr>
              <w:t xml:space="preserve">s202309050143</w:t>
            </w:r>
          </w:p>
        </w:tc>
        <w:tc>
          <w:tcPr>
            <w:tcW w:w="1985" w:type="dxa"/>
            <w:vAlign w:val="center"/>
          </w:tcPr>
          <w:p>
            <w:pPr>
              <w:jc w:val="center"/>
            </w:pPr>
            <w:r>
              <w:rPr>
                <w:rFonts w:hint="eastAsia" w:ascii="宋体" w:hAnsi="宋体" w:cs="宋体"/>
              </w:rPr>
              <w:t xml:space="preserve">w202301110014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中粮本源60幢</w:t>
            </w:r>
          </w:p>
        </w:tc>
        <w:tc>
          <w:tcPr>
            <w:tcW w:w="1842" w:type="dxa"/>
            <w:vAlign w:val="center"/>
          </w:tcPr>
          <w:p>
            <w:pPr>
              <w:jc w:val="center"/>
            </w:pPr>
            <w:r>
              <w:rPr>
                <w:rFonts w:hint="eastAsia" w:ascii="宋体" w:hAnsi="宋体" w:cs="宋体"/>
              </w:rPr>
              <w:t xml:space="preserve">同里湖嘉苑51幢102</w:t>
            </w:r>
          </w:p>
        </w:tc>
        <w:tc>
          <w:tcPr>
            <w:tcW w:w="1843" w:type="dxa"/>
            <w:vAlign w:val="center"/>
          </w:tcPr>
          <w:p>
            <w:pPr>
              <w:jc w:val="center"/>
            </w:pPr>
            <w:r>
              <w:rPr>
                <w:rFonts w:hint="eastAsia" w:ascii="宋体" w:hAnsi="宋体" w:cs="宋体"/>
              </w:rPr>
              <w:t xml:space="preserve">太阳湖大花园钻石湾别墅315幢103</w:t>
            </w:r>
          </w:p>
        </w:tc>
        <w:tc>
          <w:tcPr>
            <w:tcW w:w="1985" w:type="dxa"/>
            <w:vAlign w:val="center"/>
          </w:tcPr>
          <w:p>
            <w:pPr>
              <w:jc w:val="center"/>
            </w:pPr>
            <w:r>
              <w:rPr>
                <w:rFonts w:hint="eastAsia" w:ascii="宋体" w:hAnsi="宋体" w:cs="宋体"/>
              </w:rPr>
              <w:t xml:space="preserve">同里湖嘉苑152号</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中粮本源60幢</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同里湖嘉苑51幢102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太阳湖大花园钻石湾别墅315幢103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同里湖嘉苑152号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pn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pn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