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苏吴地评税字(2024)吴江第01002号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振业小区独栋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2024年09月27日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估价对象位于苏州市吴江区区域范围内的振业小区住宅小区独栋存量房。该小区内的物业类型包括：</w:t>
      </w:r>
      <w:r>
        <w:rPr>
          <w:rFonts w:ascii="宋体"/>
          <w:sz w:val="24"/>
        </w:rPr>
        <w:t xml:space="preserve">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月修订版），结合估价人员现场查勘，选取振业小区</w:t>
      </w:r>
      <w:r>
        <w:rPr>
          <w:rFonts w:ascii="宋体"/>
          <w:sz w:val="24"/>
        </w:rPr>
        <w:t xml:space="preserve">29幢</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286.18</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2002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2024年09月23日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壹万贰仟陆佰壹拾肆元整</w:t>
      </w:r>
      <w:r>
        <w:rPr>
          <w:rFonts w:hint="eastAsia" w:ascii="宋体" w:hAnsi="宋体"/>
          <w:b/>
          <w:bCs/>
          <w:sz w:val="24"/>
        </w:rPr>
        <w:t xml:space="preserve">（RMB</w:t>
      </w:r>
      <w:r>
        <w:rPr>
          <w:rFonts w:ascii="宋体" w:hAnsi="宋体"/>
          <w:b/>
          <w:bCs/>
          <w:sz w:val="24"/>
        </w:rPr>
        <w:t xml:space="preserve"> 12614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2024年09月27日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2024年09月27日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2024年09月27日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2024年09月27日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5.本报告作为整体使用时有效。若房地产市场无重大波动，本估价报告自出具日起一年内有效，从2024年09月27日至</w:t>
      </w:r>
      <w:r>
        <w:rPr>
          <w:rFonts w:ascii="宋体" w:hAnsi="宋体"/>
          <w:sz w:val="24"/>
        </w:rPr>
        <w:t xml:space="preserve">2025年09月26日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估价对象为振业小区</w:t>
      </w:r>
      <w:r>
        <w:rPr>
          <w:rFonts w:ascii="宋体" w:hAnsi="宋体"/>
          <w:sz w:val="24"/>
        </w:rPr>
        <w:t xml:space="preserve">29幢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仲英大道西侧</w:t>
      </w:r>
      <w:r>
        <w:rPr>
          <w:rFonts w:hint="eastAsia" w:hAnsi="宋体"/>
          <w:sz w:val="24"/>
        </w:rPr>
        <w:t xml:space="preserve">的“振业小区”住宅区内。</w:t>
      </w:r>
      <w:r>
        <w:rPr>
          <w:rFonts w:hint="eastAsia" w:ascii="宋体" w:hAnsi="宋体"/>
          <w:sz w:val="24"/>
        </w:rPr>
        <w:t xml:space="preserve">估价对象东至</w:t>
      </w:r>
      <w:r>
        <w:rPr>
          <w:rFonts w:ascii="宋体" w:hAnsi="宋体"/>
          <w:sz w:val="24"/>
          <w:szCs w:val="24"/>
        </w:rPr>
        <w:t xml:space="preserve">仲英大道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流虹路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锦业路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永康路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286.18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仲英大道西侧</w:t>
      </w:r>
      <w:r>
        <w:rPr>
          <w:rFonts w:hint="eastAsia" w:hAnsi="宋体"/>
          <w:sz w:val="24"/>
        </w:rPr>
        <w:t xml:space="preserve">的“振业小区”住宅区内。该小区内的物业类型包括：</w:t>
      </w:r>
      <w:r>
        <w:rPr>
          <w:rFonts w:hAnsi="宋体"/>
          <w:sz w:val="24"/>
        </w:rPr>
        <w:t xml:space="preserve">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振业小区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“振业小区”小区</w:t>
            </w:r>
            <w:r>
              <w:rPr>
                <w:rFonts w:ascii="Cambria" w:hAnsi="宋体" w:eastAsia="黑体" w:cs="Times New Roman" w:asciiTheme="majorHAnsi" w:cstheme="majorBidi"/>
                <w:sz w:val="15"/>
                <w:szCs w:val="15"/>
              </w:rPr>
              <w:t xml:space="preserve">29幢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由于振业小区市场交易不活跃，片区内可选案例较少，因此选择的案例A，B，C，D，距离在3公里以外。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振业小区住宅2024年9月挂牌均价15200元/平方米，较年初持平。待评估二手房住宅近14个月（2023年08月-2024年09月）挂牌均价波动幅度较小，价格维持在15200-18630元/平方米之间。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均价说明：振业小区小区物业类型包括：独栋,房源均价为:15200元/平方米，包含毛坯价值以及附带装修价值。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该房屋为3层住宅楼的第1-3层，建于2002年，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286.18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2024年09月23日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壹万贰仟陆佰壹拾肆元整</w:t>
      </w:r>
      <w:r>
        <w:rPr>
          <w:rFonts w:hint="eastAsia" w:ascii="宋体" w:hAnsi="宋体"/>
          <w:b/>
          <w:bCs/>
          <w:sz w:val="24"/>
        </w:rPr>
        <w:t xml:space="preserve">（RMB </w:t>
      </w:r>
      <w:r>
        <w:rPr>
          <w:rFonts w:ascii="宋体" w:hAnsi="宋体"/>
          <w:b/>
          <w:bCs/>
          <w:sz w:val="24"/>
        </w:rPr>
        <w:t xml:space="preserve">12614</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360.98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12614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2024年09月27日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2024年09月27日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本次实地查勘期为2024年09月23日，并于当日完成现场查勘。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2024年09月23日</w:t>
      </w:r>
      <w:r>
        <w:rPr>
          <w:rFonts w:hint="eastAsia" w:ascii="宋体"/>
          <w:sz w:val="24"/>
        </w:rPr>
        <w:t xml:space="preserve">至2024年09月27日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估价对象为苏州市吴江区“振业小区”住宅区内的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位于锦业路东侧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锦业路东侧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附近有93路、711路、718路、721路等多条公交线路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世纪华联(三通便利超市)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仲英大道</w:t>
      </w:r>
      <w:r>
        <w:rPr>
          <w:rFonts w:hint="eastAsia" w:ascii="宋体" w:hAnsi="宋体"/>
          <w:sz w:val="24"/>
        </w:rPr>
        <w:t xml:space="preserve">，南至</w:t>
      </w:r>
      <w:r>
        <w:rPr>
          <w:rFonts w:ascii="宋体" w:hAnsi="宋体"/>
          <w:sz w:val="24"/>
        </w:rPr>
        <w:t xml:space="preserve">流虹路</w:t>
      </w:r>
      <w:r>
        <w:rPr>
          <w:rFonts w:hint="eastAsia" w:ascii="宋体" w:hAnsi="宋体"/>
          <w:sz w:val="24"/>
        </w:rPr>
        <w:t xml:space="preserve">，西至</w:t>
      </w:r>
      <w:r>
        <w:rPr>
          <w:rFonts w:ascii="宋体" w:hAnsi="宋体"/>
          <w:sz w:val="24"/>
        </w:rPr>
        <w:t xml:space="preserve">锦业路</w:t>
      </w:r>
      <w:r>
        <w:rPr>
          <w:rFonts w:hint="eastAsia" w:ascii="宋体" w:hAnsi="宋体"/>
          <w:sz w:val="24"/>
        </w:rPr>
        <w:t xml:space="preserve">，北至</w:t>
      </w:r>
      <w:r>
        <w:rPr>
          <w:rFonts w:ascii="宋体" w:hAnsi="宋体"/>
          <w:sz w:val="24"/>
        </w:rPr>
        <w:t xml:space="preserve">永康路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估价对象为坐落于苏州市吴江区振业小区</w:t>
      </w:r>
      <w:r>
        <w:t xml:space="preserve"> </w:t>
      </w:r>
      <w:r>
        <w:rPr>
          <w:rFonts w:ascii="宋体" w:hAnsi="宋体"/>
          <w:kern w:val="2"/>
          <w:sz w:val="24"/>
        </w:rPr>
        <w:t xml:space="preserve">29幢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估价对象为独栋建筑，建筑面积为</w:t>
      </w:r>
      <w:r>
        <w:rPr>
          <w:rFonts w:hAnsi="宋体"/>
          <w:sz w:val="24"/>
        </w:rPr>
        <w:t xml:space="preserve">286.18</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估价对象建成于2002年，基础较为稳固，未见沉降；墙面、地面、门窗等保养完好，综合保养成新度为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振业小区住宅2024年9月挂牌均价15200元/平方米，较年初持平。待评估二手房住宅近14个月（2023年08月-2024年09月）挂牌均价波动幅度较小，价格维持在15200-18630元/平方米之间。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苏州市吴江区振业小区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F32050920230034149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F32050920230032638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s202403140029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s202309190053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吴江区松陵镇振业小区29幢独栋住宅标准房基准价格评估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江南岸1幢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江南岸10幢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鲈乡园60号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豪门府邸151幢1512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286.18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465.85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623.25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224.38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352.04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14375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13976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12783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指数，吴江区2023年09月至2024年08月住宅月度价格指数表为：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2024年08月23日</w:t>
            </w:r>
          </w:p>
        </w:tc>
        <w:tc>
          <w:tcPr>
            <w:tcW w:w="778"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2023年09月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14375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13976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14225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12783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1913</w:t>
            </w:r>
          </w:p>
        </w:tc>
        <w:tc>
          <w:tcPr>
            <w:tcW w:w="778"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1913/1913</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0.923</w:t>
            </w:r>
          </w:p>
        </w:tc>
        <w:tc>
          <w:tcPr>
            <w:tcW w:w="779" w:type="pct"/>
            <w:shd w:val="clear" w:color="auto" w:fill="FFFFFF"/>
            <w:vAlign w:val="center"/>
          </w:tcPr>
          <w:p>
            <w:pPr>
              <w:jc w:val="center"/>
            </w:pPr>
            <w:r>
              <w:rPr>
                <w:rFonts w:hint="eastAsia" w:ascii="宋体" w:hAnsi="宋体" w:cs="宋体"/>
              </w:rPr>
              <w:t xml:space="preserve">0.935</w:t>
            </w:r>
          </w:p>
        </w:tc>
        <w:tc>
          <w:tcPr>
            <w:tcW w:w="779" w:type="pct"/>
            <w:shd w:val="clear" w:color="auto" w:fill="FFFFFF"/>
            <w:vAlign w:val="center"/>
          </w:tcPr>
          <w:p>
            <w:pPr>
              <w:jc w:val="center"/>
            </w:pPr>
            <w:r>
              <w:rPr>
                <w:rFonts w:hint="eastAsia" w:ascii="宋体" w:hAnsi="宋体" w:cs="宋体"/>
              </w:rPr>
              <w:t xml:space="preserve">0.982</w:t>
            </w:r>
          </w:p>
        </w:tc>
        <w:tc>
          <w:tcPr>
            <w:tcW w:w="779" w:type="pct"/>
            <w:shd w:val="clear" w:color="auto" w:fill="FFFFFF"/>
            <w:vAlign w:val="center"/>
          </w:tcPr>
          <w:p>
            <w:pPr>
              <w:jc w:val="center"/>
            </w:pPr>
            <w:r>
              <w:rPr>
                <w:rFonts w:hint="eastAsia" w:ascii="宋体" w:hAnsi="宋体" w:cs="宋体"/>
              </w:rPr>
              <w:t xml:space="preserve">0.935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备注：在价值时点2024年09月23日</w:t>
      </w:r>
      <w:r>
        <w:rPr>
          <w:rFonts w:hint="eastAsia" w:ascii="宋体" w:hAnsi="宋体" w:cs="宋体"/>
          <w:sz w:val="24"/>
          <w:szCs w:val="24"/>
        </w:rPr>
        <w:t xml:space="preserve">，2024年09月份价格指数尚未公布，本次估价采用2024年08月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3194578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吴江区松陵镇振业小区29幢独栋住宅标准房基准价格评估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江南岸1幢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江南岸10幢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鲈乡园60号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豪门府邸151幢1512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286.18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465.85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623.25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224.38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352.04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1.0529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0.9026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12783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11538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14375</w:t>
            </w:r>
          </w:p>
        </w:tc>
        <w:tc>
          <w:tcPr>
            <w:tcW w:w="922" w:type="pct"/>
            <w:shd w:val="clear" w:color="auto" w:fill="auto"/>
            <w:vAlign w:val="center"/>
          </w:tcPr>
          <w:p>
            <w:pPr>
              <w:jc w:val="center"/>
              <w:rPr>
                <w:rFonts w:ascii="宋体" w:hAnsi="宋体" w:cs="宋体"/>
              </w:rPr>
            </w:pPr>
            <w:r>
              <w:rPr>
                <w:rFonts w:hint="eastAsia" w:ascii="宋体" w:hAnsi="宋体" w:cs="宋体"/>
              </w:rPr>
              <w:t xml:space="preserve">13976</w:t>
            </w:r>
          </w:p>
        </w:tc>
        <w:tc>
          <w:tcPr>
            <w:tcW w:w="922" w:type="pct"/>
            <w:shd w:val="clear" w:color="auto" w:fill="auto"/>
            <w:vAlign w:val="center"/>
          </w:tcPr>
          <w:p>
            <w:pPr>
              <w:jc w:val="center"/>
              <w:rPr>
                <w:rFonts w:ascii="宋体" w:hAnsi="宋体" w:cs="宋体"/>
              </w:rPr>
            </w:pPr>
            <w:r>
              <w:rPr>
                <w:rFonts w:hint="eastAsia" w:ascii="宋体" w:hAnsi="宋体" w:cs="宋体"/>
              </w:rPr>
              <w:t xml:space="preserve">14225</w:t>
            </w:r>
          </w:p>
        </w:tc>
        <w:tc>
          <w:tcPr>
            <w:tcW w:w="922" w:type="pct"/>
            <w:shd w:val="clear" w:color="auto" w:fill="auto"/>
            <w:vAlign w:val="center"/>
          </w:tcPr>
          <w:p>
            <w:pPr>
              <w:jc w:val="center"/>
              <w:rPr>
                <w:rFonts w:ascii="宋体" w:hAnsi="宋体" w:cs="宋体"/>
              </w:rPr>
            </w:pPr>
            <w:r>
              <w:rPr>
                <w:rFonts w:hint="eastAsia" w:ascii="宋体" w:hAnsi="宋体" w:cs="宋体"/>
              </w:rPr>
              <w:t xml:space="preserve">12783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0.923</w:t>
            </w:r>
          </w:p>
        </w:tc>
        <w:tc>
          <w:tcPr>
            <w:tcW w:w="922" w:type="pct"/>
            <w:shd w:val="clear" w:color="auto" w:fill="auto"/>
            <w:vAlign w:val="center"/>
          </w:tcPr>
          <w:p>
            <w:pPr>
              <w:jc w:val="center"/>
              <w:rPr>
                <w:rFonts w:ascii="宋体" w:hAnsi="宋体" w:cs="宋体"/>
              </w:rPr>
            </w:pPr>
            <w:r>
              <w:rPr>
                <w:rFonts w:hint="eastAsia" w:ascii="宋体" w:hAnsi="宋体" w:cs="宋体"/>
              </w:rPr>
              <w:t xml:space="preserve">0.935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99.5/95.5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99.5/95.5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99.5/94.5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0.8817</w:t>
            </w:r>
          </w:p>
        </w:tc>
        <w:tc>
          <w:tcPr>
            <w:tcW w:w="922" w:type="pct"/>
            <w:shd w:val="clear" w:color="auto" w:fill="auto"/>
            <w:vAlign w:val="center"/>
          </w:tcPr>
          <w:p>
            <w:pPr>
              <w:jc w:val="center"/>
              <w:rPr>
                <w:rFonts w:ascii="宋体" w:hAnsi="宋体" w:cs="宋体"/>
              </w:rPr>
            </w:pPr>
            <w:r>
              <w:rPr>
                <w:rFonts w:hint="eastAsia" w:ascii="宋体" w:hAnsi="宋体" w:cs="宋体"/>
              </w:rPr>
              <w:t xml:space="preserve">0.8931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0.9026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12674</w:t>
            </w:r>
          </w:p>
        </w:tc>
        <w:tc>
          <w:tcPr>
            <w:tcW w:w="922" w:type="pct"/>
            <w:shd w:val="clear" w:color="auto" w:fill="auto"/>
            <w:vAlign w:val="center"/>
          </w:tcPr>
          <w:p>
            <w:pPr>
              <w:jc w:val="center"/>
              <w:rPr>
                <w:rFonts w:ascii="宋体" w:hAnsi="宋体" w:cs="宋体"/>
              </w:rPr>
            </w:pPr>
            <w:r>
              <w:rPr>
                <w:rFonts w:hint="eastAsia" w:ascii="宋体" w:hAnsi="宋体" w:cs="宋体"/>
              </w:rPr>
              <w:t xml:space="preserve">12482</w:t>
            </w:r>
          </w:p>
        </w:tc>
        <w:tc>
          <w:tcPr>
            <w:tcW w:w="922" w:type="pct"/>
            <w:shd w:val="clear" w:color="auto" w:fill="auto"/>
            <w:vAlign w:val="center"/>
          </w:tcPr>
          <w:p>
            <w:pPr>
              <w:jc w:val="center"/>
              <w:rPr>
                <w:rFonts w:ascii="宋体" w:hAnsi="宋体" w:cs="宋体"/>
              </w:rPr>
            </w:pPr>
            <w:r>
              <w:rPr>
                <w:rFonts w:hint="eastAsia" w:ascii="宋体" w:hAnsi="宋体" w:cs="宋体"/>
              </w:rPr>
              <w:t xml:space="preserve">13761</w:t>
            </w:r>
          </w:p>
        </w:tc>
        <w:tc>
          <w:tcPr>
            <w:tcW w:w="922" w:type="pct"/>
            <w:shd w:val="clear" w:color="auto" w:fill="auto"/>
            <w:vAlign w:val="center"/>
          </w:tcPr>
          <w:p>
            <w:pPr>
              <w:jc w:val="center"/>
              <w:rPr>
                <w:rFonts w:ascii="宋体" w:hAnsi="宋体" w:cs="宋体"/>
              </w:rPr>
            </w:pPr>
            <w:r>
              <w:rPr>
                <w:rFonts w:hint="eastAsia" w:ascii="宋体" w:hAnsi="宋体" w:cs="宋体"/>
              </w:rPr>
              <w:t xml:space="preserve">11538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12674</w:t>
            </w:r>
          </w:p>
        </w:tc>
        <w:tc>
          <w:tcPr>
            <w:tcW w:w="922" w:type="pct"/>
            <w:shd w:val="clear" w:color="auto" w:fill="auto"/>
            <w:vAlign w:val="center"/>
          </w:tcPr>
          <w:p>
            <w:pPr>
              <w:jc w:val="center"/>
              <w:rPr>
                <w:rFonts w:ascii="宋体" w:hAnsi="宋体" w:cs="宋体"/>
              </w:rPr>
            </w:pPr>
            <w:r>
              <w:rPr>
                <w:rFonts w:hint="eastAsia" w:ascii="宋体" w:hAnsi="宋体" w:cs="宋体"/>
              </w:rPr>
              <w:t xml:space="preserve">12482</w:t>
            </w:r>
          </w:p>
        </w:tc>
        <w:tc>
          <w:tcPr>
            <w:tcW w:w="922" w:type="pct"/>
            <w:shd w:val="clear" w:color="auto" w:fill="auto"/>
            <w:vAlign w:val="center"/>
          </w:tcPr>
          <w:p>
            <w:pPr>
              <w:jc w:val="center"/>
              <w:rPr>
                <w:rFonts w:ascii="宋体" w:hAnsi="宋体" w:cs="宋体"/>
              </w:rPr>
            </w:pPr>
            <w:r>
              <w:rPr>
                <w:rFonts w:hint="eastAsia" w:ascii="宋体" w:hAnsi="宋体" w:cs="宋体"/>
              </w:rPr>
              <w:t xml:space="preserve">13761</w:t>
            </w:r>
          </w:p>
        </w:tc>
        <w:tc>
          <w:tcPr>
            <w:tcW w:w="922" w:type="pct"/>
            <w:shd w:val="clear" w:color="auto" w:fill="auto"/>
            <w:vAlign w:val="center"/>
          </w:tcPr>
          <w:p>
            <w:pPr>
              <w:jc w:val="center"/>
              <w:rPr>
                <w:rFonts w:ascii="宋体" w:hAnsi="宋体" w:cs="宋体"/>
              </w:rPr>
            </w:pPr>
            <w:r>
              <w:rPr>
                <w:rFonts w:hint="eastAsia" w:ascii="宋体" w:hAnsi="宋体" w:cs="宋体"/>
              </w:rPr>
              <w:t xml:space="preserve">11538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12614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F32050920230034149</w:t>
            </w:r>
          </w:p>
        </w:tc>
        <w:tc>
          <w:tcPr>
            <w:tcW w:w="1842" w:type="dxa"/>
            <w:vAlign w:val="center"/>
          </w:tcPr>
          <w:p>
            <w:pPr>
              <w:jc w:val="center"/>
            </w:pPr>
            <w:r>
              <w:rPr>
                <w:rFonts w:hint="eastAsia" w:ascii="宋体" w:hAnsi="宋体" w:cs="宋体"/>
              </w:rPr>
              <w:t xml:space="preserve">F32050920230032638</w:t>
            </w:r>
          </w:p>
        </w:tc>
        <w:tc>
          <w:tcPr>
            <w:tcW w:w="1843" w:type="dxa"/>
            <w:vAlign w:val="center"/>
          </w:tcPr>
          <w:p>
            <w:pPr>
              <w:jc w:val="center"/>
            </w:pPr>
            <w:r>
              <w:rPr>
                <w:rFonts w:hint="eastAsia" w:ascii="宋体" w:hAnsi="宋体" w:cs="宋体"/>
              </w:rPr>
              <w:t xml:space="preserve">s202403140029</w:t>
            </w:r>
          </w:p>
        </w:tc>
        <w:tc>
          <w:tcPr>
            <w:tcW w:w="1985" w:type="dxa"/>
            <w:vAlign w:val="center"/>
          </w:tcPr>
          <w:p>
            <w:pPr>
              <w:jc w:val="center"/>
            </w:pPr>
            <w:r>
              <w:rPr>
                <w:rFonts w:hint="eastAsia" w:ascii="宋体" w:hAnsi="宋体" w:cs="宋体"/>
              </w:rPr>
              <w:t xml:space="preserve">s202309190053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江南岸1幢</w:t>
            </w:r>
          </w:p>
        </w:tc>
        <w:tc>
          <w:tcPr>
            <w:tcW w:w="1842" w:type="dxa"/>
            <w:vAlign w:val="center"/>
          </w:tcPr>
          <w:p>
            <w:pPr>
              <w:jc w:val="center"/>
            </w:pPr>
            <w:r>
              <w:rPr>
                <w:rFonts w:hint="eastAsia" w:ascii="宋体" w:hAnsi="宋体" w:cs="宋体"/>
              </w:rPr>
              <w:t xml:space="preserve">江南岸10幢</w:t>
            </w:r>
          </w:p>
        </w:tc>
        <w:tc>
          <w:tcPr>
            <w:tcW w:w="1843" w:type="dxa"/>
            <w:vAlign w:val="center"/>
          </w:tcPr>
          <w:p>
            <w:pPr>
              <w:jc w:val="center"/>
            </w:pPr>
            <w:r>
              <w:rPr>
                <w:rFonts w:hint="eastAsia" w:ascii="宋体" w:hAnsi="宋体" w:cs="宋体"/>
              </w:rPr>
              <w:t xml:space="preserve">鲈乡园60号</w:t>
            </w:r>
          </w:p>
        </w:tc>
        <w:tc>
          <w:tcPr>
            <w:tcW w:w="1985" w:type="dxa"/>
            <w:vAlign w:val="center"/>
          </w:tcPr>
          <w:p>
            <w:pPr>
              <w:jc w:val="center"/>
            </w:pPr>
            <w:r>
              <w:rPr>
                <w:rFonts w:hint="eastAsia" w:ascii="宋体" w:hAnsi="宋体" w:cs="宋体"/>
              </w:rPr>
              <w:t xml:space="preserve">豪门府邸151幢1512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江南岸1幢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江南岸10幢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鲈乡园60号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豪门府邸151幢1512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