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苏吴地评税字(2024)吴江第01010号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苏河鼎城叠加</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国家注册房地产估价师：谢建鹏</w:t>
      </w:r>
      <w:r>
        <w:rPr>
          <w:rFonts w:hint="eastAsia" w:ascii="宋体" w:hAnsi="宋体"/>
          <w:sz w:val="24"/>
          <w:szCs w:val="24"/>
        </w:rPr>
        <w:t xml:space="preserve">、注册证号：</w:t>
      </w:r>
      <w:r>
        <w:rPr>
          <w:rFonts w:ascii="宋体" w:hAnsi="宋体"/>
          <w:sz w:val="24"/>
          <w:szCs w:val="24"/>
        </w:rPr>
        <w:t xml:space="preserve">1220160011</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2024年04月30日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估价对象位于苏州市吴江区区域范围内的苏河鼎城住宅小区叠加存量房。该小区内的物业类型包括：</w:t>
      </w:r>
      <w:r>
        <w:rPr>
          <w:rFonts w:ascii="宋体"/>
          <w:sz w:val="24"/>
        </w:rPr>
        <w:t xml:space="preserve">普通多层、小高层、高层、叠加、联排、双拼、独栋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月修订版），结合估价人员现场查勘，选取苏河鼎城</w:t>
      </w:r>
      <w:r>
        <w:rPr>
          <w:rFonts w:ascii="宋体"/>
          <w:sz w:val="24"/>
        </w:rPr>
        <w:t xml:space="preserve">23幢103室</w:t>
      </w:r>
      <w:r>
        <w:rPr>
          <w:rFonts w:hint="eastAsia" w:ascii="宋体"/>
          <w:sz w:val="24"/>
        </w:rPr>
        <w:t xml:space="preserve">为该小区</w:t>
      </w:r>
      <w:r>
        <w:rPr>
          <w:rFonts w:ascii="宋体"/>
          <w:sz w:val="24"/>
        </w:rPr>
        <w:t xml:space="preserve">钢混结构</w:t>
      </w:r>
      <w:r>
        <w:rPr>
          <w:rFonts w:hint="eastAsia" w:ascii="宋体"/>
          <w:sz w:val="24"/>
        </w:rPr>
        <w:t xml:space="preserve">叠加的标准样本房，所在楼层</w:t>
      </w:r>
      <w:r>
        <w:rPr>
          <w:rFonts w:ascii="宋体"/>
          <w:sz w:val="24"/>
        </w:rPr>
        <w:t xml:space="preserve">1-2</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277.43</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2013</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2079年10月21日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2024年04月22日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2024年04月22日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壹万叁仟零玖拾伍元整</w:t>
      </w:r>
      <w:r>
        <w:rPr>
          <w:rFonts w:hint="eastAsia" w:ascii="宋体" w:hAnsi="宋体"/>
          <w:b/>
          <w:bCs/>
          <w:sz w:val="24"/>
        </w:rPr>
        <w:t xml:space="preserve">（RMB</w:t>
      </w:r>
      <w:r>
        <w:rPr>
          <w:rFonts w:ascii="宋体" w:hAnsi="宋体"/>
          <w:b/>
          <w:bCs/>
          <w:sz w:val="24"/>
        </w:rPr>
        <w:t xml:space="preserve"> 13095</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2024年04月30日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5.本报告作为整体使用时有效。若房地产市场无重大波动，本估价报告自出具日起一年内有效，从2024年04月30日至</w:t>
      </w:r>
      <w:r>
        <w:rPr>
          <w:rFonts w:ascii="宋体" w:hAnsi="宋体"/>
          <w:sz w:val="24"/>
        </w:rPr>
        <w:t xml:space="preserve">2025年04月29日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苏河鼎城</w:t>
      </w:r>
      <w:r>
        <w:rPr>
          <w:rFonts w:ascii="宋体" w:hAnsi="宋体"/>
          <w:sz w:val="24"/>
        </w:rPr>
        <w:t xml:space="preserve">23幢103室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梅石路西侧</w:t>
      </w:r>
      <w:r>
        <w:rPr>
          <w:rFonts w:hint="eastAsia" w:hAnsi="宋体"/>
          <w:sz w:val="24"/>
        </w:rPr>
        <w:t xml:space="preserve">的“</w:t>
      </w:r>
      <w:r>
        <w:rPr>
          <w:rFonts w:hint="eastAsia" w:hAnsi="宋体"/>
          <w:sz w:val="24"/>
        </w:rPr>
        <w:t xml:space="preserve">苏河鼎城</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梅石路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体育路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苏州河路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江厍路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277.43</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梅石路西侧</w:t>
      </w:r>
      <w:r>
        <w:rPr>
          <w:rFonts w:hint="eastAsia" w:hAnsi="宋体"/>
          <w:sz w:val="24"/>
        </w:rPr>
        <w:t xml:space="preserve">的“苏河鼎城”住宅区内。该小区内的物业类型包括：</w:t>
      </w:r>
      <w:r>
        <w:rPr>
          <w:rFonts w:hAnsi="宋体"/>
          <w:sz w:val="24"/>
        </w:rPr>
        <w:t xml:space="preserve">普通多层、小高层、高层、叠加、联排、双拼、独栋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苏河鼎城</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苏河鼎城</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23幢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由于苏河鼎城市场交易不活跃，片区内可选案例较少，因此选择的案例A，B，C，D，距离在3公里以外。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苏河鼎城住宅2024年4月挂牌均价19813元/平方米，较年初持平。待评估二手房住宅近8个月（2023年09月-2024年04月）挂牌均价波动幅度较小，价格维持在19813-22795元/平方米之间。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均价说明：苏河鼎城小区物业类型包括：普通多层、小高层、高层、叠加、联排、双拼、独栋,房源均价为:19813元/平方米，包含毛坯价值以及附带装修价值。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该房屋为5层住宅楼的第1-2层，建于2013年，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277.43</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2079年10月21日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2024年04月22日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壹万叁仟零玖拾伍元整</w:t>
      </w:r>
      <w:r>
        <w:rPr>
          <w:rFonts w:hint="eastAsia" w:ascii="宋体" w:hAnsi="宋体"/>
          <w:b/>
          <w:bCs/>
          <w:sz w:val="24"/>
        </w:rPr>
        <w:t xml:space="preserve">（RMB </w:t>
      </w:r>
      <w:r>
        <w:rPr>
          <w:rFonts w:ascii="宋体" w:hAnsi="宋体"/>
          <w:b/>
          <w:bCs/>
          <w:sz w:val="24"/>
        </w:rPr>
        <w:t xml:space="preserve">13095</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363.29</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13095</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本次实地查勘期为2024年04月22日，并于当日完成现场查勘。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2024年04月22日</w:t>
      </w:r>
      <w:r>
        <w:rPr>
          <w:rFonts w:hint="eastAsia" w:ascii="宋体"/>
          <w:sz w:val="24"/>
        </w:rPr>
        <w:t xml:space="preserve">至2024年04月30日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苏河鼎城</w:t>
      </w:r>
      <w:r>
        <w:rPr>
          <w:rFonts w:hint="eastAsia" w:hAnsi="宋体"/>
          <w:sz w:val="24"/>
        </w:rPr>
        <w:t xml:space="preserve">”住宅区内的</w:t>
      </w:r>
      <w:r>
        <w:rPr>
          <w:rFonts w:hAnsi="宋体"/>
          <w:sz w:val="24"/>
        </w:rPr>
        <w:t xml:space="preserve">叠加</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估价对象位于所在建筑物第1-2层。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位于苏州河路东侧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苏州河路东侧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附近有721路等公交线路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明珠商城</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中国建设银行      </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绿色生鲜振泰小区店</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吴江市童博幼儿园</w:t>
      </w:r>
      <w:r>
        <w:rPr>
          <w:rFonts w:hint="eastAsia" w:ascii="宋体" w:hAnsi="宋体" w:eastAsia="宋体" w:asciiTheme="minorEastAsia" w:hAnsiTheme="minorEastAsia" w:eastAsiaTheme="minorEastAsia"/>
          <w:sz w:val="24"/>
        </w:rPr>
        <w:t xml:space="preserve">、</w:t>
      </w:r>
      <w:r>
        <w:rPr>
          <w:rFonts w:hAnsi="宋体"/>
          <w:sz w:val="24"/>
        </w:rPr>
        <w:t xml:space="preserve">吴江市实验小学(爱德校区)</w:t>
      </w:r>
      <w:r>
        <w:rPr>
          <w:rFonts w:hint="eastAsia" w:hAnsi="宋体"/>
          <w:sz w:val="24"/>
        </w:rPr>
        <w:t xml:space="preserve">、</w:t>
      </w:r>
      <w:r>
        <w:rPr>
          <w:rFonts w:hAnsi="宋体"/>
          <w:sz w:val="24"/>
        </w:rPr>
        <w:t xml:space="preserve">吴江区实验初级中学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2079年10月21日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梅石路</w:t>
      </w:r>
      <w:r>
        <w:rPr>
          <w:rFonts w:hint="eastAsia" w:ascii="宋体" w:hAnsi="宋体"/>
          <w:sz w:val="24"/>
        </w:rPr>
        <w:t xml:space="preserve">，南至</w:t>
      </w:r>
      <w:r>
        <w:rPr>
          <w:rFonts w:ascii="宋体" w:hAnsi="宋体"/>
          <w:sz w:val="24"/>
        </w:rPr>
        <w:t xml:space="preserve">体育路</w:t>
      </w:r>
      <w:r>
        <w:rPr>
          <w:rFonts w:hint="eastAsia" w:ascii="宋体" w:hAnsi="宋体"/>
          <w:sz w:val="24"/>
        </w:rPr>
        <w:t xml:space="preserve">，西至</w:t>
      </w:r>
      <w:r>
        <w:rPr>
          <w:rFonts w:ascii="宋体" w:hAnsi="宋体"/>
          <w:sz w:val="24"/>
        </w:rPr>
        <w:t xml:space="preserve">苏州河路</w:t>
      </w:r>
      <w:r>
        <w:rPr>
          <w:rFonts w:hint="eastAsia" w:ascii="宋体" w:hAnsi="宋体"/>
          <w:sz w:val="24"/>
        </w:rPr>
        <w:t xml:space="preserve">，北至</w:t>
      </w:r>
      <w:r>
        <w:rPr>
          <w:rFonts w:ascii="宋体" w:hAnsi="宋体"/>
          <w:sz w:val="24"/>
        </w:rPr>
        <w:t xml:space="preserve">江厍路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估价对象为坐落于苏州市吴江区苏河鼎城</w:t>
      </w:r>
      <w:r>
        <w:t xml:space="preserve"> </w:t>
      </w:r>
      <w:r>
        <w:rPr>
          <w:rFonts w:ascii="宋体" w:hAnsi="宋体"/>
          <w:kern w:val="2"/>
          <w:sz w:val="24"/>
        </w:rPr>
        <w:t xml:space="preserve">23幢103室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叠加</w:t>
      </w:r>
      <w:r>
        <w:rPr>
          <w:rFonts w:hint="eastAsia" w:hAnsi="宋体"/>
          <w:sz w:val="24"/>
        </w:rPr>
        <w:t xml:space="preserve">建筑，建筑面积为</w:t>
      </w:r>
      <w:r>
        <w:rPr>
          <w:rFonts w:hAnsi="宋体"/>
          <w:sz w:val="24"/>
        </w:rPr>
        <w:t xml:space="preserve">277.43</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5</w:t>
      </w:r>
      <w:r>
        <w:rPr>
          <w:rFonts w:hint="eastAsia" w:hAnsi="宋体"/>
          <w:sz w:val="24"/>
        </w:rPr>
        <w:t xml:space="preserve">层的第</w:t>
      </w:r>
      <w:r>
        <w:rPr>
          <w:rFonts w:hint="eastAsia" w:hAnsi="宋体"/>
          <w:sz w:val="24"/>
        </w:rPr>
        <w:t xml:space="preserve">1-2</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五室三厅三卫</w:t>
      </w:r>
      <w:r>
        <w:rPr>
          <w:rFonts w:hint="eastAsia" w:hAnsi="宋体"/>
          <w:sz w:val="24"/>
        </w:rPr>
        <w:t xml:space="preserve">，</w:t>
      </w:r>
      <w:r>
        <w:rPr>
          <w:rFonts w:hAnsi="宋体"/>
          <w:sz w:val="24"/>
        </w:rPr>
        <w:t xml:space="preserve">四间朝南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2013</w:t>
      </w:r>
      <w:r>
        <w:rPr>
          <w:rFonts w:hint="eastAsia" w:hAnsi="宋体"/>
          <w:sz w:val="24"/>
        </w:rPr>
        <w:t xml:space="preserve">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苏河鼎城住宅2024年4月挂牌均价19813元/平方米，较年初持平。待评估二手房住宅近8个月（2023年09月-2024年04月）挂牌均价波动幅度较小，价格维持在19813-22795元/平方米之间。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苏州市吴江区苏河鼎城</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F32050920230047225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F32050920230039594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s202312070167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s202311140025</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吴江区松陵镇苏河鼎城23幢103室叠加住宅标准房基准价格评估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禧苑5幢304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水城名邸11幢101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锦绣豪门花园12幢206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绿苑6幢703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277.43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121.21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221.05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226.18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146.2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3-4/4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7-8/19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四间朝南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2024年04月22日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14025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13454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13264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13680</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2024年03月22日</w:t>
            </w:r>
          </w:p>
        </w:tc>
        <w:tc>
          <w:tcPr>
            <w:tcW w:w="778" w:type="pct"/>
            <w:shd w:val="clear" w:color="auto" w:fill="FFFFFF"/>
            <w:vAlign w:val="center"/>
          </w:tcPr>
          <w:p>
            <w:pPr>
              <w:jc w:val="center"/>
              <w:rPr/>
            </w:pPr>
            <w:r>
              <w:rPr>
                <w:rFonts w:hint="eastAsia" w:ascii="宋体" w:hAnsi="宋体" w:cs="宋体"/>
              </w:rPr>
              <w:t xml:space="preserve">2023年12月</w:t>
            </w:r>
          </w:p>
        </w:tc>
        <w:tc>
          <w:tcPr>
            <w:tcW w:w="779" w:type="pct"/>
            <w:shd w:val="clear" w:color="auto" w:fill="FFFFFF"/>
            <w:vAlign w:val="center"/>
          </w:tcPr>
          <w:p>
            <w:pPr>
              <w:jc w:val="center"/>
              <w:rPr/>
            </w:pPr>
            <w:r>
              <w:rPr>
                <w:rFonts w:hint="eastAsia" w:ascii="宋体" w:hAnsi="宋体" w:cs="宋体"/>
              </w:rPr>
              <w:t xml:space="preserve">2023年11月</w:t>
            </w:r>
          </w:p>
        </w:tc>
        <w:tc>
          <w:tcPr>
            <w:tcW w:w="779" w:type="pct"/>
            <w:shd w:val="clear" w:color="auto" w:fill="FFFFFF"/>
            <w:vAlign w:val="center"/>
          </w:tcPr>
          <w:p>
            <w:pPr>
              <w:jc w:val="center"/>
              <w:rPr/>
            </w:pPr>
            <w:r>
              <w:rPr>
                <w:rFonts w:hint="eastAsia" w:ascii="宋体" w:hAnsi="宋体" w:cs="宋体"/>
              </w:rPr>
              <w:t xml:space="preserve">2023年09月</w:t>
            </w:r>
          </w:p>
        </w:tc>
        <w:tc>
          <w:tcPr>
            <w:tcW w:w="779" w:type="pct"/>
            <w:shd w:val="clear" w:color="auto" w:fill="FFFFFF"/>
            <w:vAlign w:val="center"/>
          </w:tcPr>
          <w:p>
            <w:pPr>
              <w:jc w:val="center"/>
              <w:rPr/>
            </w:pPr>
            <w:r>
              <w:rPr>
                <w:rFonts w:hint="eastAsia" w:ascii="宋体" w:hAnsi="宋体" w:cs="宋体"/>
              </w:rPr>
              <w:t xml:space="preserve">2023年12月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14025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13454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13264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13680</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1971</w:t>
            </w:r>
          </w:p>
        </w:tc>
        <w:tc>
          <w:tcPr>
            <w:tcW w:w="778" w:type="pct"/>
            <w:shd w:val="clear" w:color="auto" w:fill="FFFFFF"/>
            <w:vAlign w:val="center"/>
          </w:tcPr>
          <w:p>
            <w:pPr>
              <w:jc w:val="center"/>
              <w:rPr/>
            </w:pPr>
            <w:r>
              <w:rPr>
                <w:rFonts w:hint="eastAsia" w:ascii="宋体" w:hAnsi="宋体" w:cs="宋体"/>
              </w:rPr>
              <w:t xml:space="preserve">2048</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2048</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1971/2048</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0.962</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备注：在价值时点2024年04月22日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002662306"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吴江区松陵镇苏河鼎城23幢103室叠加住宅标准房基准价格评估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禧苑5幢304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水城名邸11幢101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锦绣豪门花园12幢206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绿苑6幢703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277.43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121.21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221.05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226.18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146.2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0.9876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0.9776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0.9525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13454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13264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13680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13295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13287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12967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12830</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14025</w:t>
            </w:r>
          </w:p>
        </w:tc>
        <w:tc>
          <w:tcPr>
            <w:tcW w:w="922" w:type="pct"/>
            <w:shd w:val="clear" w:color="auto" w:fill="auto"/>
            <w:vAlign w:val="center"/>
          </w:tcPr>
          <w:p>
            <w:pPr>
              <w:jc w:val="center"/>
              <w:rPr>
                <w:rFonts w:ascii="宋体" w:hAnsi="宋体" w:cs="宋体"/>
              </w:rPr>
            </w:pPr>
            <w:r>
              <w:rPr>
                <w:rFonts w:hint="eastAsia" w:ascii="宋体" w:hAnsi="宋体" w:cs="宋体"/>
              </w:rPr>
              <w:t xml:space="preserve">13454</w:t>
            </w:r>
          </w:p>
        </w:tc>
        <w:tc>
          <w:tcPr>
            <w:tcW w:w="922" w:type="pct"/>
            <w:shd w:val="clear" w:color="auto" w:fill="auto"/>
            <w:vAlign w:val="center"/>
          </w:tcPr>
          <w:p>
            <w:pPr>
              <w:jc w:val="center"/>
              <w:rPr>
                <w:rFonts w:ascii="宋体" w:hAnsi="宋体" w:cs="宋体"/>
              </w:rPr>
            </w:pPr>
            <w:r>
              <w:rPr>
                <w:rFonts w:hint="eastAsia" w:ascii="宋体" w:hAnsi="宋体" w:cs="宋体"/>
              </w:rPr>
              <w:t xml:space="preserve">13264</w:t>
            </w:r>
          </w:p>
        </w:tc>
        <w:tc>
          <w:tcPr>
            <w:tcW w:w="922" w:type="pct"/>
            <w:shd w:val="clear" w:color="auto" w:fill="auto"/>
            <w:vAlign w:val="center"/>
          </w:tcPr>
          <w:p>
            <w:pPr>
              <w:jc w:val="center"/>
              <w:rPr>
                <w:rFonts w:ascii="宋体" w:hAnsi="宋体" w:cs="宋体"/>
              </w:rPr>
            </w:pPr>
            <w:r>
              <w:rPr>
                <w:rFonts w:hint="eastAsia" w:ascii="宋体" w:hAnsi="宋体" w:cs="宋体"/>
              </w:rPr>
              <w:t xml:space="preserve">13680</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0.962</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0.962</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110.16/110.17</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110.16/111.26</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100.5/98</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0.9765</w:t>
            </w:r>
          </w:p>
        </w:tc>
        <w:tc>
          <w:tcPr>
            <w:tcW w:w="922" w:type="pct"/>
            <w:shd w:val="clear" w:color="auto" w:fill="auto"/>
            <w:vAlign w:val="center"/>
          </w:tcPr>
          <w:p>
            <w:pPr>
              <w:jc w:val="center"/>
              <w:rPr>
                <w:rFonts w:ascii="宋体" w:hAnsi="宋体" w:cs="宋体"/>
              </w:rPr>
            </w:pPr>
            <w:r>
              <w:rPr>
                <w:rFonts w:hint="eastAsia" w:ascii="宋体" w:hAnsi="宋体" w:cs="宋体"/>
              </w:rPr>
              <w:t xml:space="preserve">0.9876</w:t>
            </w:r>
          </w:p>
        </w:tc>
        <w:tc>
          <w:tcPr>
            <w:tcW w:w="922" w:type="pct"/>
            <w:shd w:val="clear" w:color="auto" w:fill="auto"/>
            <w:vAlign w:val="center"/>
          </w:tcPr>
          <w:p>
            <w:pPr>
              <w:jc w:val="center"/>
              <w:rPr>
                <w:rFonts w:ascii="宋体" w:hAnsi="宋体" w:cs="宋体"/>
              </w:rPr>
            </w:pPr>
            <w:r>
              <w:rPr>
                <w:rFonts w:hint="eastAsia" w:ascii="宋体" w:hAnsi="宋体" w:cs="宋体"/>
              </w:rPr>
              <w:t xml:space="preserve">0.9776</w:t>
            </w:r>
          </w:p>
        </w:tc>
        <w:tc>
          <w:tcPr>
            <w:tcW w:w="922" w:type="pct"/>
            <w:shd w:val="clear" w:color="auto" w:fill="auto"/>
            <w:vAlign w:val="center"/>
          </w:tcPr>
          <w:p>
            <w:pPr>
              <w:jc w:val="center"/>
              <w:rPr>
                <w:rFonts w:ascii="宋体" w:hAnsi="宋体" w:cs="宋体"/>
              </w:rPr>
            </w:pPr>
            <w:r>
              <w:rPr>
                <w:rFonts w:hint="eastAsia" w:ascii="宋体" w:hAnsi="宋体" w:cs="宋体"/>
              </w:rPr>
              <w:t xml:space="preserve">0.9525</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13695</w:t>
            </w:r>
          </w:p>
        </w:tc>
        <w:tc>
          <w:tcPr>
            <w:tcW w:w="922" w:type="pct"/>
            <w:shd w:val="clear" w:color="auto" w:fill="auto"/>
            <w:vAlign w:val="center"/>
          </w:tcPr>
          <w:p>
            <w:pPr>
              <w:jc w:val="center"/>
              <w:rPr>
                <w:rFonts w:ascii="宋体" w:hAnsi="宋体" w:cs="宋体"/>
              </w:rPr>
            </w:pPr>
            <w:r>
              <w:rPr>
                <w:rFonts w:hint="eastAsia" w:ascii="宋体" w:hAnsi="宋体" w:cs="宋体"/>
              </w:rPr>
              <w:t xml:space="preserve">13287</w:t>
            </w:r>
          </w:p>
        </w:tc>
        <w:tc>
          <w:tcPr>
            <w:tcW w:w="922" w:type="pct"/>
            <w:shd w:val="clear" w:color="auto" w:fill="auto"/>
            <w:vAlign w:val="center"/>
          </w:tcPr>
          <w:p>
            <w:pPr>
              <w:jc w:val="center"/>
              <w:rPr>
                <w:rFonts w:ascii="宋体" w:hAnsi="宋体" w:cs="宋体"/>
              </w:rPr>
            </w:pPr>
            <w:r>
              <w:rPr>
                <w:rFonts w:hint="eastAsia" w:ascii="宋体" w:hAnsi="宋体" w:cs="宋体"/>
              </w:rPr>
              <w:t xml:space="preserve">12967</w:t>
            </w:r>
          </w:p>
        </w:tc>
        <w:tc>
          <w:tcPr>
            <w:tcW w:w="922" w:type="pct"/>
            <w:shd w:val="clear" w:color="auto" w:fill="auto"/>
            <w:vAlign w:val="center"/>
          </w:tcPr>
          <w:p>
            <w:pPr>
              <w:jc w:val="center"/>
              <w:rPr>
                <w:rFonts w:ascii="宋体" w:hAnsi="宋体" w:cs="宋体"/>
              </w:rPr>
            </w:pPr>
            <w:r>
              <w:rPr>
                <w:rFonts w:hint="eastAsia" w:ascii="宋体" w:hAnsi="宋体" w:cs="宋体"/>
              </w:rPr>
              <w:t xml:space="preserve">13030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400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200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13295</w:t>
            </w:r>
          </w:p>
        </w:tc>
        <w:tc>
          <w:tcPr>
            <w:tcW w:w="922" w:type="pct"/>
            <w:shd w:val="clear" w:color="auto" w:fill="auto"/>
            <w:vAlign w:val="center"/>
          </w:tcPr>
          <w:p>
            <w:pPr>
              <w:jc w:val="center"/>
              <w:rPr>
                <w:rFonts w:ascii="宋体" w:hAnsi="宋体" w:cs="宋体"/>
              </w:rPr>
            </w:pPr>
            <w:r>
              <w:rPr>
                <w:rFonts w:hint="eastAsia" w:ascii="宋体" w:hAnsi="宋体" w:cs="宋体"/>
              </w:rPr>
              <w:t xml:space="preserve">13287</w:t>
            </w:r>
          </w:p>
        </w:tc>
        <w:tc>
          <w:tcPr>
            <w:tcW w:w="922" w:type="pct"/>
            <w:shd w:val="clear" w:color="auto" w:fill="auto"/>
            <w:vAlign w:val="center"/>
          </w:tcPr>
          <w:p>
            <w:pPr>
              <w:jc w:val="center"/>
              <w:rPr>
                <w:rFonts w:ascii="宋体" w:hAnsi="宋体" w:cs="宋体"/>
              </w:rPr>
            </w:pPr>
            <w:r>
              <w:rPr>
                <w:rFonts w:hint="eastAsia" w:ascii="宋体" w:hAnsi="宋体" w:cs="宋体"/>
              </w:rPr>
              <w:t xml:space="preserve">12967</w:t>
            </w:r>
          </w:p>
        </w:tc>
        <w:tc>
          <w:tcPr>
            <w:tcW w:w="922" w:type="pct"/>
            <w:shd w:val="clear" w:color="auto" w:fill="auto"/>
            <w:vAlign w:val="center"/>
          </w:tcPr>
          <w:p>
            <w:pPr>
              <w:jc w:val="center"/>
              <w:rPr>
                <w:rFonts w:ascii="宋体" w:hAnsi="宋体" w:cs="宋体"/>
              </w:rPr>
            </w:pPr>
            <w:r>
              <w:rPr>
                <w:rFonts w:hint="eastAsia" w:ascii="宋体" w:hAnsi="宋体" w:cs="宋体"/>
              </w:rPr>
              <w:t xml:space="preserve">12830</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13095</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F32050920230047225</w:t>
            </w:r>
          </w:p>
        </w:tc>
        <w:tc>
          <w:tcPr>
            <w:tcW w:w="1842" w:type="dxa"/>
            <w:vAlign w:val="center"/>
          </w:tcPr>
          <w:p>
            <w:pPr>
              <w:jc w:val="center"/>
              <w:rPr/>
            </w:pPr>
            <w:r>
              <w:rPr>
                <w:rFonts w:hint="eastAsia" w:ascii="宋体" w:hAnsi="宋体" w:cs="宋体"/>
              </w:rPr>
              <w:t xml:space="preserve">F32050920230039594</w:t>
            </w:r>
          </w:p>
        </w:tc>
        <w:tc>
          <w:tcPr>
            <w:tcW w:w="1843" w:type="dxa"/>
            <w:vAlign w:val="center"/>
          </w:tcPr>
          <w:p>
            <w:pPr>
              <w:jc w:val="center"/>
              <w:rPr/>
            </w:pPr>
            <w:r>
              <w:rPr>
                <w:rFonts w:hint="eastAsia" w:ascii="宋体" w:hAnsi="宋体" w:cs="宋体"/>
              </w:rPr>
              <w:t xml:space="preserve">s202312070167</w:t>
            </w:r>
          </w:p>
        </w:tc>
        <w:tc>
          <w:tcPr>
            <w:tcW w:w="1985" w:type="dxa"/>
            <w:vAlign w:val="center"/>
          </w:tcPr>
          <w:p>
            <w:pPr>
              <w:jc w:val="center"/>
              <w:rPr/>
            </w:pPr>
            <w:r>
              <w:rPr>
                <w:rFonts w:hint="eastAsia" w:ascii="宋体" w:hAnsi="宋体" w:cs="宋体"/>
              </w:rPr>
              <w:t xml:space="preserve">s202311140025</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禧苑5幢304</w:t>
            </w:r>
          </w:p>
        </w:tc>
        <w:tc>
          <w:tcPr>
            <w:tcW w:w="1842" w:type="dxa"/>
            <w:vAlign w:val="center"/>
          </w:tcPr>
          <w:p>
            <w:pPr>
              <w:jc w:val="center"/>
              <w:rPr/>
            </w:pPr>
            <w:r>
              <w:rPr>
                <w:rFonts w:hint="eastAsia" w:ascii="宋体" w:hAnsi="宋体" w:cs="宋体"/>
              </w:rPr>
              <w:t xml:space="preserve">水城名邸11幢101</w:t>
            </w:r>
          </w:p>
        </w:tc>
        <w:tc>
          <w:tcPr>
            <w:tcW w:w="1843" w:type="dxa"/>
            <w:vAlign w:val="center"/>
          </w:tcPr>
          <w:p>
            <w:pPr>
              <w:jc w:val="center"/>
              <w:rPr/>
            </w:pPr>
            <w:r>
              <w:rPr>
                <w:rFonts w:hint="eastAsia" w:ascii="宋体" w:hAnsi="宋体" w:cs="宋体"/>
              </w:rPr>
              <w:t xml:space="preserve">锦绣豪门花园12幢206</w:t>
            </w:r>
          </w:p>
        </w:tc>
        <w:tc>
          <w:tcPr>
            <w:tcW w:w="1985" w:type="dxa"/>
            <w:vAlign w:val="center"/>
          </w:tcPr>
          <w:p>
            <w:pPr>
              <w:jc w:val="center"/>
              <w:rPr/>
            </w:pPr>
            <w:r>
              <w:rPr>
                <w:rFonts w:hint="eastAsia" w:ascii="宋体" w:hAnsi="宋体" w:cs="宋体"/>
              </w:rPr>
              <w:t xml:space="preserve">绿苑6幢703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禧苑5幢304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水城名邸11幢101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锦绣豪门花园12幢206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绿苑6幢703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