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苏吴地评税字(2024)吴江第01034号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流虹小区独栋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2024年10月24日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估价对象位于苏州市吴江区区域范围内的流虹小区住宅小区独栋存量房。该小区内的物业类型包括：</w:t>
      </w:r>
      <w:r>
        <w:rPr>
          <w:rFonts w:ascii="宋体"/>
          <w:sz w:val="24"/>
        </w:rPr>
        <w:t xml:space="preserve">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月修订版），结合估价人员现场查勘，选取流虹小区</w:t>
      </w:r>
      <w:r>
        <w:rPr>
          <w:rFonts w:ascii="宋体"/>
          <w:sz w:val="24"/>
        </w:rPr>
        <w:t xml:space="preserve">15幢</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297.88</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2003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2024年10月17日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2024年10月17日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壹万玖仟陆佰贰拾壹元整</w:t>
      </w:r>
      <w:r>
        <w:rPr>
          <w:rFonts w:hint="eastAsia" w:ascii="宋体" w:hAnsi="宋体"/>
          <w:b/>
          <w:bCs/>
          <w:sz w:val="24"/>
        </w:rPr>
        <w:t xml:space="preserve">（RMB</w:t>
      </w:r>
      <w:r>
        <w:rPr>
          <w:rFonts w:ascii="宋体" w:hAnsi="宋体"/>
          <w:b/>
          <w:bCs/>
          <w:sz w:val="24"/>
        </w:rPr>
        <w:t xml:space="preserve"> 19621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2024年10月24日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2024年10月24日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2024年10月24日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2024年10月24日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5.本报告作为整体使用时有效。若房地产市场无重大波动，本估价报告自出具日起一年内有效，从2024年10月24日至</w:t>
      </w:r>
      <w:r>
        <w:rPr>
          <w:rFonts w:ascii="宋体" w:hAnsi="宋体"/>
          <w:sz w:val="24"/>
        </w:rPr>
        <w:t xml:space="preserve">2025年10月23日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估价对象为流虹小区</w:t>
      </w:r>
      <w:r>
        <w:rPr>
          <w:rFonts w:ascii="宋体" w:hAnsi="宋体"/>
          <w:sz w:val="24"/>
        </w:rPr>
        <w:t xml:space="preserve">15幢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仲英大道西侧</w:t>
      </w:r>
      <w:r>
        <w:rPr>
          <w:rFonts w:hint="eastAsia" w:hAnsi="宋体"/>
          <w:sz w:val="24"/>
        </w:rPr>
        <w:t xml:space="preserve">的“流虹小区”住宅区内。</w:t>
      </w:r>
      <w:r>
        <w:rPr>
          <w:rFonts w:hint="eastAsia" w:ascii="宋体" w:hAnsi="宋体"/>
          <w:sz w:val="24"/>
        </w:rPr>
        <w:t xml:space="preserve">估价对象东至</w:t>
      </w:r>
      <w:r>
        <w:rPr>
          <w:rFonts w:ascii="宋体" w:hAnsi="宋体"/>
          <w:sz w:val="24"/>
          <w:szCs w:val="24"/>
        </w:rPr>
        <w:t xml:space="preserve">仲英大道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双板桥路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锦业路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流虹路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297.88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仲英大道西侧</w:t>
      </w:r>
      <w:r>
        <w:rPr>
          <w:rFonts w:hint="eastAsia" w:hAnsi="宋体"/>
          <w:sz w:val="24"/>
        </w:rPr>
        <w:t xml:space="preserve">的“流虹小区”住宅区内。该小区内的物业类型包括：</w:t>
      </w:r>
      <w:r>
        <w:rPr>
          <w:rFonts w:hAnsi="宋体"/>
          <w:sz w:val="24"/>
        </w:rPr>
        <w:t xml:space="preserve">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流虹小区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“流虹小区”小区</w:t>
            </w:r>
            <w:r>
              <w:rPr>
                <w:rFonts w:ascii="Cambria" w:hAnsi="宋体" w:eastAsia="黑体" w:cs="Times New Roman" w:asciiTheme="majorHAnsi" w:cstheme="majorBidi"/>
                <w:sz w:val="15"/>
                <w:szCs w:val="15"/>
              </w:rPr>
              <w:t xml:space="preserve">15幢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由于流虹小区市场交易不活跃，片区内可选案例较少，因此选择的案例A，B，C，D，距离在3公里以外。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流虹小区住宅2024年10月挂牌均价13700元/平方米，较年初持平。待评估二手房住宅近12个月（2023年11月-2024年10月）挂牌均价波动幅度较小，价格维持在13700-15471元/平方米之间。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均价说明：流虹小区小区物业类型包括：独栋,房源均价为:13700元/平方米，包含毛坯价值以及附带装修价值。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该房屋为3层住宅楼的第1-3层，建于2003年，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297.88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2024年10月17日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壹万玖仟陆佰贰拾壹元整</w:t>
      </w:r>
      <w:r>
        <w:rPr>
          <w:rFonts w:hint="eastAsia" w:ascii="宋体" w:hAnsi="宋体"/>
          <w:b/>
          <w:bCs/>
          <w:sz w:val="24"/>
        </w:rPr>
        <w:t xml:space="preserve">（RMB </w:t>
      </w:r>
      <w:r>
        <w:rPr>
          <w:rFonts w:ascii="宋体" w:hAnsi="宋体"/>
          <w:b/>
          <w:bCs/>
          <w:sz w:val="24"/>
        </w:rPr>
        <w:t xml:space="preserve">19621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584.48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19621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2024年10月24日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2024年10月24日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本次实地查勘期为2024年10月17日，并于当日完成现场查勘。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2024年10月17日</w:t>
      </w:r>
      <w:r>
        <w:rPr>
          <w:rFonts w:hint="eastAsia" w:ascii="宋体"/>
          <w:sz w:val="24"/>
        </w:rPr>
        <w:t xml:space="preserve">至2024年10月24日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估价对象为苏州市吴江区“流虹小区”住宅区内的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位于双板桥路北侧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双板桥路北侧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附近有93路、713路、718路、721路等多条公交线路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中国农业银行(吴江鲈乡支行)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城西农贸市场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鲈乡小学</w:t>
      </w:r>
      <w:r>
        <w:rPr>
          <w:rFonts w:hint="eastAsia" w:hAnsi="宋体"/>
          <w:sz w:val="24"/>
        </w:rPr>
        <w:t xml:space="preserve">、</w:t>
      </w:r>
      <w:r>
        <w:rPr>
          <w:rFonts w:hAnsi="宋体"/>
          <w:sz w:val="24"/>
        </w:rPr>
        <w:t xml:space="preserve">松陵高级中学校</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仲英大道</w:t>
      </w:r>
      <w:r>
        <w:rPr>
          <w:rFonts w:hint="eastAsia" w:ascii="宋体" w:hAnsi="宋体"/>
          <w:sz w:val="24"/>
        </w:rPr>
        <w:t xml:space="preserve">，南至</w:t>
      </w:r>
      <w:r>
        <w:rPr>
          <w:rFonts w:ascii="宋体" w:hAnsi="宋体"/>
          <w:sz w:val="24"/>
        </w:rPr>
        <w:t xml:space="preserve">双板桥路</w:t>
      </w:r>
      <w:r>
        <w:rPr>
          <w:rFonts w:hint="eastAsia" w:ascii="宋体" w:hAnsi="宋体"/>
          <w:sz w:val="24"/>
        </w:rPr>
        <w:t xml:space="preserve">，西至</w:t>
      </w:r>
      <w:r>
        <w:rPr>
          <w:rFonts w:ascii="宋体" w:hAnsi="宋体"/>
          <w:sz w:val="24"/>
        </w:rPr>
        <w:t xml:space="preserve">锦业路</w:t>
      </w:r>
      <w:r>
        <w:rPr>
          <w:rFonts w:hint="eastAsia" w:ascii="宋体" w:hAnsi="宋体"/>
          <w:sz w:val="24"/>
        </w:rPr>
        <w:t xml:space="preserve">，北至</w:t>
      </w:r>
      <w:r>
        <w:rPr>
          <w:rFonts w:ascii="宋体" w:hAnsi="宋体"/>
          <w:sz w:val="24"/>
        </w:rPr>
        <w:t xml:space="preserve">流虹路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估价对象为坐落于苏州市吴江区流虹小区</w:t>
      </w:r>
      <w:r>
        <w:t xml:space="preserve"> </w:t>
      </w:r>
      <w:r>
        <w:rPr>
          <w:rFonts w:ascii="宋体" w:hAnsi="宋体"/>
          <w:kern w:val="2"/>
          <w:sz w:val="24"/>
        </w:rPr>
        <w:t xml:space="preserve">15幢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估价对象为独栋建筑，建筑面积为</w:t>
      </w:r>
      <w:r>
        <w:rPr>
          <w:rFonts w:hAnsi="宋体"/>
          <w:sz w:val="24"/>
        </w:rPr>
        <w:t xml:space="preserve">297.88</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估价对象建成于2003年，基础较为稳固，未见沉降；墙面、地面、门窗等保养完好，综合保养成新度为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流虹小区住宅2024年10月挂牌均价13700元/平方米，较年初持平。待评估二手房住宅近12个月（2023年11月-2024年10月）挂牌均价波动幅度较小，价格维持在13700-15471元/平方米之间。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苏州市吴江区流虹小区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F32050920240015181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F32050920240017668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F32050920230037418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s202312040050</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吴江区松陵镇流虹小区15幢独栋住宅标准房基准价格评估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太阳湖花园二期1幢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太阳湖大花园钻石湾别墅233幢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中粮本园北区626号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维纳恩湖59号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297.88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604.99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308.31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283.77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19835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21083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23992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22201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指数，吴江区2023年10月至2024年09月住宅月度价格指数表为：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2024年09月17日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19835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21083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23992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22201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1931</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w:t>
            </w:r>
          </w:p>
        </w:tc>
        <w:tc>
          <w:tcPr>
            <w:tcW w:w="779" w:type="pct"/>
            <w:shd w:val="clear" w:color="auto" w:fill="FFFFFF"/>
            <w:vAlign w:val="center"/>
          </w:tcPr>
          <w:p>
            <w:pPr>
              <w:jc w:val="center"/>
            </w:pPr>
            <w:r>
              <w:rPr>
                <w:rFonts w:hint="eastAsia" w:ascii="宋体" w:hAnsi="宋体" w:cs="宋体"/>
              </w:rPr>
              <w:t xml:space="preserve">0.991</w:t>
            </w:r>
          </w:p>
        </w:tc>
        <w:tc>
          <w:tcPr>
            <w:tcW w:w="779" w:type="pct"/>
            <w:shd w:val="clear" w:color="auto" w:fill="FFFFFF"/>
            <w:vAlign w:val="center"/>
          </w:tcPr>
          <w:p>
            <w:pPr>
              <w:jc w:val="center"/>
            </w:pPr>
            <w:r>
              <w:rPr>
                <w:rFonts w:hint="eastAsia" w:ascii="宋体" w:hAnsi="宋体" w:cs="宋体"/>
              </w:rPr>
              <w:t xml:space="preserve">0.944</w:t>
            </w:r>
          </w:p>
        </w:tc>
        <w:tc>
          <w:tcPr>
            <w:tcW w:w="779" w:type="pct"/>
            <w:shd w:val="clear" w:color="auto" w:fill="FFFFFF"/>
            <w:vAlign w:val="center"/>
          </w:tcPr>
          <w:p>
            <w:pPr>
              <w:jc w:val="center"/>
            </w:pPr>
            <w:r>
              <w:rPr>
                <w:rFonts w:hint="eastAsia" w:ascii="宋体" w:hAnsi="宋体" w:cs="宋体"/>
              </w:rPr>
              <w:t xml:space="preserve">0.943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备注：在价值时点2024年10月17日</w:t>
      </w:r>
      <w:r>
        <w:rPr>
          <w:rFonts w:hint="eastAsia" w:ascii="宋体" w:hAnsi="宋体" w:cs="宋体"/>
          <w:sz w:val="24"/>
          <w:szCs w:val="24"/>
        </w:rPr>
        <w:t xml:space="preserve">，2024年10月份价格指数尚未公布，本次估价采用2024年09月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87958195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吴江区松陵镇流虹小区15幢独栋住宅标准房基准价格评估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太阳湖花园二期1幢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太阳湖大花园钻石湾别墅233幢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中粮本园北区626号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维纳恩湖59号</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297.88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604.99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308.31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283.77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19835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21083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23992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22201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18454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19059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21291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19681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19835</w:t>
            </w:r>
          </w:p>
        </w:tc>
        <w:tc>
          <w:tcPr>
            <w:tcW w:w="922" w:type="pct"/>
            <w:shd w:val="clear" w:color="auto" w:fill="auto"/>
            <w:vAlign w:val="center"/>
          </w:tcPr>
          <w:p>
            <w:pPr>
              <w:jc w:val="center"/>
              <w:rPr>
                <w:rFonts w:ascii="宋体" w:hAnsi="宋体" w:cs="宋体"/>
              </w:rPr>
            </w:pPr>
            <w:r>
              <w:rPr>
                <w:rFonts w:hint="eastAsia" w:ascii="宋体" w:hAnsi="宋体" w:cs="宋体"/>
              </w:rPr>
              <w:t xml:space="preserve">21083</w:t>
            </w:r>
          </w:p>
        </w:tc>
        <w:tc>
          <w:tcPr>
            <w:tcW w:w="922" w:type="pct"/>
            <w:shd w:val="clear" w:color="auto" w:fill="auto"/>
            <w:vAlign w:val="center"/>
          </w:tcPr>
          <w:p>
            <w:pPr>
              <w:jc w:val="center"/>
              <w:rPr>
                <w:rFonts w:ascii="宋体" w:hAnsi="宋体" w:cs="宋体"/>
              </w:rPr>
            </w:pPr>
            <w:r>
              <w:rPr>
                <w:rFonts w:hint="eastAsia" w:ascii="宋体" w:hAnsi="宋体" w:cs="宋体"/>
              </w:rPr>
              <w:t xml:space="preserve">23992</w:t>
            </w:r>
          </w:p>
        </w:tc>
        <w:tc>
          <w:tcPr>
            <w:tcW w:w="922" w:type="pct"/>
            <w:shd w:val="clear" w:color="auto" w:fill="auto"/>
            <w:vAlign w:val="center"/>
          </w:tcPr>
          <w:p>
            <w:pPr>
              <w:jc w:val="center"/>
              <w:rPr>
                <w:rFonts w:ascii="宋体" w:hAnsi="宋体" w:cs="宋体"/>
              </w:rPr>
            </w:pPr>
            <w:r>
              <w:rPr>
                <w:rFonts w:hint="eastAsia" w:ascii="宋体" w:hAnsi="宋体" w:cs="宋体"/>
              </w:rPr>
              <w:t xml:space="preserve">22201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w:t>
            </w:r>
          </w:p>
        </w:tc>
        <w:tc>
          <w:tcPr>
            <w:tcW w:w="922" w:type="pct"/>
            <w:shd w:val="clear" w:color="auto" w:fill="auto"/>
            <w:vAlign w:val="center"/>
          </w:tcPr>
          <w:p>
            <w:pPr>
              <w:jc w:val="center"/>
              <w:rPr>
                <w:rFonts w:ascii="宋体" w:hAnsi="宋体" w:cs="宋体"/>
              </w:rPr>
            </w:pPr>
            <w:r>
              <w:rPr>
                <w:rFonts w:hint="eastAsia" w:ascii="宋体" w:hAnsi="宋体" w:cs="宋体"/>
              </w:rPr>
              <w:t xml:space="preserve">0.991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102/113.46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101/98.5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0.9304</w:t>
            </w:r>
          </w:p>
        </w:tc>
        <w:tc>
          <w:tcPr>
            <w:tcW w:w="922" w:type="pct"/>
            <w:shd w:val="clear" w:color="auto" w:fill="auto"/>
            <w:vAlign w:val="center"/>
          </w:tcPr>
          <w:p>
            <w:pPr>
              <w:jc w:val="center"/>
              <w:rPr>
                <w:rFonts w:ascii="宋体" w:hAnsi="宋体" w:cs="宋体"/>
              </w:rPr>
            </w:pPr>
            <w:r>
              <w:rPr>
                <w:rFonts w:hint="eastAsia" w:ascii="宋体" w:hAnsi="宋体" w:cs="宋体"/>
              </w:rPr>
              <w:t xml:space="preserve">0.9135</w:t>
            </w:r>
          </w:p>
        </w:tc>
        <w:tc>
          <w:tcPr>
            <w:tcW w:w="922" w:type="pct"/>
            <w:shd w:val="clear" w:color="auto" w:fill="auto"/>
            <w:vAlign w:val="center"/>
          </w:tcPr>
          <w:p>
            <w:pPr>
              <w:jc w:val="center"/>
              <w:rPr>
                <w:rFonts w:ascii="宋体" w:hAnsi="宋体" w:cs="宋体"/>
              </w:rPr>
            </w:pPr>
            <w:r>
              <w:rPr>
                <w:rFonts w:hint="eastAsia" w:ascii="宋体" w:hAnsi="宋体" w:cs="宋体"/>
              </w:rPr>
              <w:t xml:space="preserve">0.8874</w:t>
            </w:r>
          </w:p>
        </w:tc>
        <w:tc>
          <w:tcPr>
            <w:tcW w:w="922" w:type="pct"/>
            <w:shd w:val="clear" w:color="auto" w:fill="auto"/>
            <w:vAlign w:val="center"/>
          </w:tcPr>
          <w:p>
            <w:pPr>
              <w:jc w:val="center"/>
              <w:rPr>
                <w:rFonts w:ascii="宋体" w:hAnsi="宋体" w:cs="宋体"/>
              </w:rPr>
            </w:pPr>
            <w:r>
              <w:rPr>
                <w:rFonts w:hint="eastAsia" w:ascii="宋体" w:hAnsi="宋体" w:cs="宋体"/>
              </w:rPr>
              <w:t xml:space="preserve">0.8865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18454</w:t>
            </w:r>
          </w:p>
        </w:tc>
        <w:tc>
          <w:tcPr>
            <w:tcW w:w="922" w:type="pct"/>
            <w:shd w:val="clear" w:color="auto" w:fill="auto"/>
            <w:vAlign w:val="center"/>
          </w:tcPr>
          <w:p>
            <w:pPr>
              <w:jc w:val="center"/>
              <w:rPr>
                <w:rFonts w:ascii="宋体" w:hAnsi="宋体" w:cs="宋体"/>
              </w:rPr>
            </w:pPr>
            <w:r>
              <w:rPr>
                <w:rFonts w:hint="eastAsia" w:ascii="宋体" w:hAnsi="宋体" w:cs="宋体"/>
              </w:rPr>
              <w:t xml:space="preserve">19259</w:t>
            </w:r>
          </w:p>
        </w:tc>
        <w:tc>
          <w:tcPr>
            <w:tcW w:w="922" w:type="pct"/>
            <w:shd w:val="clear" w:color="auto" w:fill="auto"/>
            <w:vAlign w:val="center"/>
          </w:tcPr>
          <w:p>
            <w:pPr>
              <w:jc w:val="center"/>
              <w:rPr>
                <w:rFonts w:ascii="宋体" w:hAnsi="宋体" w:cs="宋体"/>
              </w:rPr>
            </w:pPr>
            <w:r>
              <w:rPr>
                <w:rFonts w:hint="eastAsia" w:ascii="宋体" w:hAnsi="宋体" w:cs="宋体"/>
              </w:rPr>
              <w:t xml:space="preserve">21291</w:t>
            </w:r>
          </w:p>
        </w:tc>
        <w:tc>
          <w:tcPr>
            <w:tcW w:w="922" w:type="pct"/>
            <w:shd w:val="clear" w:color="auto" w:fill="auto"/>
            <w:vAlign w:val="center"/>
          </w:tcPr>
          <w:p>
            <w:pPr>
              <w:jc w:val="center"/>
              <w:rPr>
                <w:rFonts w:ascii="宋体" w:hAnsi="宋体" w:cs="宋体"/>
              </w:rPr>
            </w:pPr>
            <w:r>
              <w:rPr>
                <w:rFonts w:hint="eastAsia" w:ascii="宋体" w:hAnsi="宋体" w:cs="宋体"/>
              </w:rPr>
              <w:t xml:space="preserve">19681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18454</w:t>
            </w:r>
          </w:p>
        </w:tc>
        <w:tc>
          <w:tcPr>
            <w:tcW w:w="922" w:type="pct"/>
            <w:shd w:val="clear" w:color="auto" w:fill="auto"/>
            <w:vAlign w:val="center"/>
          </w:tcPr>
          <w:p>
            <w:pPr>
              <w:jc w:val="center"/>
              <w:rPr>
                <w:rFonts w:ascii="宋体" w:hAnsi="宋体" w:cs="宋体"/>
              </w:rPr>
            </w:pPr>
            <w:r>
              <w:rPr>
                <w:rFonts w:hint="eastAsia" w:ascii="宋体" w:hAnsi="宋体" w:cs="宋体"/>
              </w:rPr>
              <w:t xml:space="preserve">19059</w:t>
            </w:r>
          </w:p>
        </w:tc>
        <w:tc>
          <w:tcPr>
            <w:tcW w:w="922" w:type="pct"/>
            <w:shd w:val="clear" w:color="auto" w:fill="auto"/>
            <w:vAlign w:val="center"/>
          </w:tcPr>
          <w:p>
            <w:pPr>
              <w:jc w:val="center"/>
              <w:rPr>
                <w:rFonts w:ascii="宋体" w:hAnsi="宋体" w:cs="宋体"/>
              </w:rPr>
            </w:pPr>
            <w:r>
              <w:rPr>
                <w:rFonts w:hint="eastAsia" w:ascii="宋体" w:hAnsi="宋体" w:cs="宋体"/>
              </w:rPr>
              <w:t xml:space="preserve">21291</w:t>
            </w:r>
          </w:p>
        </w:tc>
        <w:tc>
          <w:tcPr>
            <w:tcW w:w="922" w:type="pct"/>
            <w:shd w:val="clear" w:color="auto" w:fill="auto"/>
            <w:vAlign w:val="center"/>
          </w:tcPr>
          <w:p>
            <w:pPr>
              <w:jc w:val="center"/>
              <w:rPr>
                <w:rFonts w:ascii="宋体" w:hAnsi="宋体" w:cs="宋体"/>
              </w:rPr>
            </w:pPr>
            <w:r>
              <w:rPr>
                <w:rFonts w:hint="eastAsia" w:ascii="宋体" w:hAnsi="宋体" w:cs="宋体"/>
              </w:rPr>
              <w:t xml:space="preserve">19681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19621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F32050920240015181</w:t>
            </w:r>
          </w:p>
        </w:tc>
        <w:tc>
          <w:tcPr>
            <w:tcW w:w="1842" w:type="dxa"/>
            <w:vAlign w:val="center"/>
          </w:tcPr>
          <w:p>
            <w:pPr>
              <w:jc w:val="center"/>
            </w:pPr>
            <w:r>
              <w:rPr>
                <w:rFonts w:hint="eastAsia" w:ascii="宋体" w:hAnsi="宋体" w:cs="宋体"/>
              </w:rPr>
              <w:t xml:space="preserve">F32050920240017668</w:t>
            </w:r>
          </w:p>
        </w:tc>
        <w:tc>
          <w:tcPr>
            <w:tcW w:w="1843" w:type="dxa"/>
            <w:vAlign w:val="center"/>
          </w:tcPr>
          <w:p>
            <w:pPr>
              <w:jc w:val="center"/>
            </w:pPr>
            <w:r>
              <w:rPr>
                <w:rFonts w:hint="eastAsia" w:ascii="宋体" w:hAnsi="宋体" w:cs="宋体"/>
              </w:rPr>
              <w:t xml:space="preserve">F32050920230037418</w:t>
            </w:r>
          </w:p>
        </w:tc>
        <w:tc>
          <w:tcPr>
            <w:tcW w:w="1985" w:type="dxa"/>
            <w:vAlign w:val="center"/>
          </w:tcPr>
          <w:p>
            <w:pPr>
              <w:jc w:val="center"/>
            </w:pPr>
            <w:r>
              <w:rPr>
                <w:rFonts w:hint="eastAsia" w:ascii="宋体" w:hAnsi="宋体" w:cs="宋体"/>
              </w:rPr>
              <w:t xml:space="preserve">s202312040050</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太阳湖花园二期1幢</w:t>
            </w:r>
          </w:p>
        </w:tc>
        <w:tc>
          <w:tcPr>
            <w:tcW w:w="1842" w:type="dxa"/>
            <w:vAlign w:val="center"/>
          </w:tcPr>
          <w:p>
            <w:pPr>
              <w:jc w:val="center"/>
            </w:pPr>
            <w:r>
              <w:rPr>
                <w:rFonts w:hint="eastAsia" w:ascii="宋体" w:hAnsi="宋体" w:cs="宋体"/>
              </w:rPr>
              <w:t xml:space="preserve">太阳湖大花园钻石湾别墅233幢</w:t>
            </w:r>
          </w:p>
        </w:tc>
        <w:tc>
          <w:tcPr>
            <w:tcW w:w="1843" w:type="dxa"/>
            <w:vAlign w:val="center"/>
          </w:tcPr>
          <w:p>
            <w:pPr>
              <w:jc w:val="center"/>
            </w:pPr>
            <w:r>
              <w:rPr>
                <w:rFonts w:hint="eastAsia" w:ascii="宋体" w:hAnsi="宋体" w:cs="宋体"/>
              </w:rPr>
              <w:t xml:space="preserve">中粮本园北区626号</w:t>
            </w:r>
          </w:p>
        </w:tc>
        <w:tc>
          <w:tcPr>
            <w:tcW w:w="1985" w:type="dxa"/>
            <w:vAlign w:val="center"/>
          </w:tcPr>
          <w:p>
            <w:pPr>
              <w:jc w:val="center"/>
            </w:pPr>
            <w:r>
              <w:rPr>
                <w:rFonts w:hint="eastAsia" w:ascii="宋体" w:hAnsi="宋体" w:cs="宋体"/>
              </w:rPr>
              <w:t xml:space="preserve">维纳恩湖59号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太阳湖花园二期1幢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太阳湖大花园钻石湾别墅233幢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中粮本园北区626号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维纳恩湖59号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