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苏吴地评税字(2024)吴江第01044号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江中小区独栋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2024年10月24日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估价对象位于苏州市吴江区区域范围内的江中小区住宅小区独栋存量房。该小区内的物业类型包括：</w:t>
      </w:r>
      <w:r>
        <w:rPr>
          <w:rFonts w:ascii="宋体"/>
          <w:sz w:val="24"/>
        </w:rPr>
        <w:t xml:space="preserve">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月修订版），结合估价人员现场查勘，选取江中小区</w:t>
      </w:r>
      <w:r>
        <w:rPr>
          <w:rFonts w:ascii="宋体"/>
          <w:sz w:val="24"/>
        </w:rPr>
        <w:t xml:space="preserve">1幢</w:t>
      </w:r>
      <w:r>
        <w:rPr>
          <w:rFonts w:hint="eastAsia" w:ascii="宋体"/>
          <w:sz w:val="24"/>
        </w:rPr>
        <w:t xml:space="preserve">为该小区</w:t>
      </w:r>
      <w:r>
        <w:rPr>
          <w:rFonts w:ascii="宋体"/>
          <w:sz w:val="24"/>
        </w:rPr>
        <w:t xml:space="preserve">砖混结构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325.41</w:t>
      </w:r>
      <w:r>
        <w:rPr>
          <w:rFonts w:hint="eastAsia" w:ascii="宋体"/>
          <w:sz w:val="24"/>
        </w:rPr>
        <w:t xml:space="preserve">平方米，南北朝向，</w:t>
      </w:r>
      <w:r>
        <w:rPr>
          <w:rFonts w:ascii="宋体"/>
          <w:sz w:val="24"/>
        </w:rPr>
        <w:t xml:space="preserve">，砖混结构</w:t>
      </w:r>
      <w:r>
        <w:rPr>
          <w:rFonts w:hint="eastAsia" w:ascii="宋体"/>
          <w:sz w:val="24"/>
        </w:rPr>
        <w:t xml:space="preserve">，设计用途为成套住宅，建成于</w:t>
      </w:r>
      <w:r>
        <w:rPr>
          <w:rFonts w:ascii="宋体"/>
          <w:sz w:val="24"/>
        </w:rPr>
        <w:t xml:space="preserve">2001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2024年10月17日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2024年10月17日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壹万零柒佰贰拾贰元整</w:t>
      </w:r>
      <w:r>
        <w:rPr>
          <w:rFonts w:hint="eastAsia" w:ascii="宋体" w:hAnsi="宋体"/>
          <w:b/>
          <w:bCs/>
          <w:sz w:val="24"/>
        </w:rPr>
        <w:t xml:space="preserve">（RMB</w:t>
      </w:r>
      <w:r>
        <w:rPr>
          <w:rFonts w:ascii="宋体" w:hAnsi="宋体"/>
          <w:b/>
          <w:bCs/>
          <w:sz w:val="24"/>
        </w:rPr>
        <w:t xml:space="preserve"> 10722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2024年10月24日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2024年10月24日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2024年10月24日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2024年10月24日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5.本报告作为整体使用时有效。若房地产市场无重大波动，本估价报告自出具日起一年内有效，从2024年10月24日至</w:t>
      </w:r>
      <w:r>
        <w:rPr>
          <w:rFonts w:ascii="宋体" w:hAnsi="宋体"/>
          <w:sz w:val="24"/>
        </w:rPr>
        <w:t xml:space="preserve">2025年10月23日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估价对象为江中小区</w:t>
      </w:r>
      <w:r>
        <w:rPr>
          <w:rFonts w:ascii="宋体" w:hAnsi="宋体"/>
          <w:sz w:val="24"/>
        </w:rPr>
        <w:t xml:space="preserve">1幢</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兴虹苑北侧</w:t>
      </w:r>
      <w:r>
        <w:rPr>
          <w:rFonts w:hint="eastAsia" w:hAnsi="宋体"/>
          <w:sz w:val="24"/>
        </w:rPr>
        <w:t xml:space="preserve">的“江中小区”住宅区内。</w:t>
      </w:r>
      <w:r>
        <w:rPr>
          <w:rFonts w:hint="eastAsia" w:ascii="宋体" w:hAnsi="宋体"/>
          <w:sz w:val="24"/>
        </w:rPr>
        <w:t xml:space="preserve">估价对象东至</w:t>
      </w:r>
      <w:r>
        <w:rPr>
          <w:rFonts w:ascii="宋体" w:hAnsi="宋体"/>
          <w:sz w:val="24"/>
          <w:szCs w:val="24"/>
        </w:rPr>
        <w:t xml:space="preserve">垂虹路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兴虹苑</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花园路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维也纳酒店</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325.41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兴虹苑北侧</w:t>
      </w:r>
      <w:r>
        <w:rPr>
          <w:rFonts w:hint="eastAsia" w:hAnsi="宋体"/>
          <w:sz w:val="24"/>
        </w:rPr>
        <w:t xml:space="preserve">的“江中小区”住宅区内。该小区内的物业类型包括：</w:t>
      </w:r>
      <w:r>
        <w:rPr>
          <w:rFonts w:hAnsi="宋体"/>
          <w:sz w:val="24"/>
        </w:rPr>
        <w:t xml:space="preserve">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江中小区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“江中小区”小区</w:t>
            </w:r>
            <w:r>
              <w:rPr>
                <w:rFonts w:ascii="Cambria" w:hAnsi="宋体" w:eastAsia="黑体" w:cs="Times New Roman" w:asciiTheme="majorHAnsi" w:cstheme="majorBidi"/>
                <w:sz w:val="15"/>
                <w:szCs w:val="15"/>
              </w:rPr>
              <w:t xml:space="preserve">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由于江中小区市场交易不活跃，片区内可选案例较少，因此选择的案例A，B，C，D，距离在3公里以外。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江中小区住宅2024年10月挂牌均价11000元/平方米，较年初持平。待评估二手房住宅近14个月（2023年09月-2024年10月）挂牌均价波动幅度较小，价格维持在11000元/平方米左右。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均价说明：江中小区小区物业类型包括：独栋,房源均价为:11000元/平方米，包含毛坯价值以及附带装修价值。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该房屋为3层住宅楼的第1-3层，建于2001年，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325.41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2024年10月17日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壹万零柒佰贰拾贰元整</w:t>
      </w:r>
      <w:r>
        <w:rPr>
          <w:rFonts w:hint="eastAsia" w:ascii="宋体" w:hAnsi="宋体"/>
          <w:b/>
          <w:bCs/>
          <w:sz w:val="24"/>
        </w:rPr>
        <w:t xml:space="preserve">（RMB </w:t>
      </w:r>
      <w:r>
        <w:rPr>
          <w:rFonts w:ascii="宋体" w:hAnsi="宋体"/>
          <w:b/>
          <w:bCs/>
          <w:sz w:val="24"/>
        </w:rPr>
        <w:t xml:space="preserve">10722</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348.92</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10722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2024年10月24日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2024年10月24日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本次实地查勘期为2024年10月17日，并于当日完成现场查勘。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2024年10月17日</w:t>
      </w:r>
      <w:r>
        <w:rPr>
          <w:rFonts w:hint="eastAsia" w:ascii="宋体"/>
          <w:sz w:val="24"/>
        </w:rPr>
        <w:t xml:space="preserve">至2024年10月24日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估价对象为苏州市吴江区“江中小区”住宅区内的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位于垂虹路西侧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垂虹路西侧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附近有709路、710路、94路、722路、732路、713路公交线路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华联超市、大润发超市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浙江泰隆商业银行、光大银行、中国农业发展银行、中国人民银行、苏州银行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流虹农贸市场、运东农贸市场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松陵小学</w:t>
      </w:r>
      <w:r>
        <w:rPr>
          <w:rFonts w:hint="eastAsia" w:ascii="宋体" w:hAnsi="宋体" w:eastAsia="宋体" w:asciiTheme="minorEastAsia" w:hAnsiTheme="minorEastAsia" w:eastAsiaTheme="minorEastAsia"/>
          <w:sz w:val="24"/>
        </w:rPr>
        <w:t xml:space="preserve">、</w:t>
      </w:r>
      <w:r>
        <w:rPr>
          <w:rFonts w:hAnsi="宋体"/>
          <w:sz w:val="24"/>
        </w:rPr>
        <w:t xml:space="preserve">吴江区实验初级中学</w:t>
      </w:r>
      <w:r>
        <w:rPr>
          <w:rFonts w:hint="eastAsia" w:hAnsi="宋体"/>
          <w:sz w:val="24"/>
        </w:rPr>
        <w:t xml:space="preserve">、</w:t>
      </w:r>
      <w:r>
        <w:rPr>
          <w:rFonts w:hAnsi="宋体"/>
          <w:sz w:val="24"/>
        </w:rPr>
        <w:t xml:space="preserve">吴江交通学校</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垂虹路</w:t>
      </w:r>
      <w:r>
        <w:rPr>
          <w:rFonts w:hint="eastAsia" w:ascii="宋体" w:hAnsi="宋体"/>
          <w:sz w:val="24"/>
        </w:rPr>
        <w:t xml:space="preserve">，南至</w:t>
      </w:r>
      <w:r>
        <w:rPr>
          <w:rFonts w:ascii="宋体" w:hAnsi="宋体"/>
          <w:sz w:val="24"/>
        </w:rPr>
        <w:t xml:space="preserve">兴虹苑</w:t>
      </w:r>
      <w:r>
        <w:rPr>
          <w:rFonts w:hint="eastAsia" w:ascii="宋体" w:hAnsi="宋体"/>
          <w:sz w:val="24"/>
        </w:rPr>
        <w:t xml:space="preserve">，西至</w:t>
      </w:r>
      <w:r>
        <w:rPr>
          <w:rFonts w:ascii="宋体" w:hAnsi="宋体"/>
          <w:sz w:val="24"/>
        </w:rPr>
        <w:t xml:space="preserve">花园路</w:t>
      </w:r>
      <w:r>
        <w:rPr>
          <w:rFonts w:hint="eastAsia" w:ascii="宋体" w:hAnsi="宋体"/>
          <w:sz w:val="24"/>
        </w:rPr>
        <w:t xml:space="preserve">，北至</w:t>
      </w:r>
      <w:r>
        <w:rPr>
          <w:rFonts w:ascii="宋体" w:hAnsi="宋体"/>
          <w:sz w:val="24"/>
        </w:rPr>
        <w:t xml:space="preserve">维也纳酒店</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估价对象为坐落于苏州市吴江区江中小区</w:t>
      </w:r>
      <w:r>
        <w:t xml:space="preserve"> </w:t>
      </w:r>
      <w:r>
        <w:rPr>
          <w:rFonts w:ascii="宋体" w:hAnsi="宋体"/>
          <w:kern w:val="2"/>
          <w:sz w:val="24"/>
        </w:rPr>
        <w:t xml:space="preserve">1幢</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估价对象为独栋建筑，建筑面积为</w:t>
      </w:r>
      <w:r>
        <w:rPr>
          <w:rFonts w:hAnsi="宋体"/>
          <w:sz w:val="24"/>
        </w:rPr>
        <w:t xml:space="preserve">325.41</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五室两厅四卫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估价对象建成于2001年，基础较为稳固，未见沉降；墙面、地面、门窗等保养完好，综合保养成新度为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江中小区住宅2024年10月挂牌均价11000元/平方米，较年初持平。待评估二手房住宅近14个月（2023年09月-2024年10月）挂牌均价波动幅度较小，价格维持在11000元/平方米左右。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苏州市吴江区江中小区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F32050920230047018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F32050920230035971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s32050922105426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s202309190053</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吴江区松陵镇江中小区1幢独栋住宅标准房基准价格评估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豪门府邸37号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金盛花园73号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绿舜花园32号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豪门府邸151幢1512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325.41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401.24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419.62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393.23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352.04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一等（5）</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2024年10月17日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11464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11302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12783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指数，吴江区2023年10月至2024年09月住宅月度价格指数表为：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2024年09月17日</w:t>
            </w:r>
          </w:p>
        </w:tc>
        <w:tc>
          <w:tcPr>
            <w:tcW w:w="778"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2023年09月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11464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11916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11302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12783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1931</w:t>
            </w:r>
          </w:p>
        </w:tc>
        <w:tc>
          <w:tcPr>
            <w:tcW w:w="778"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1931/1931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0.943</w:t>
            </w:r>
          </w:p>
        </w:tc>
        <w:tc>
          <w:tcPr>
            <w:tcW w:w="779" w:type="pct"/>
            <w:shd w:val="clear" w:color="auto" w:fill="FFFFFF"/>
            <w:vAlign w:val="center"/>
          </w:tcPr>
          <w:p>
            <w:pPr>
              <w:jc w:val="center"/>
            </w:pPr>
            <w:r>
              <w:rPr>
                <w:rFonts w:hint="eastAsia" w:ascii="宋体" w:hAnsi="宋体" w:cs="宋体"/>
              </w:rPr>
              <w:t xml:space="preserve">0.944</w:t>
            </w:r>
          </w:p>
        </w:tc>
        <w:tc>
          <w:tcPr>
            <w:tcW w:w="779" w:type="pct"/>
            <w:shd w:val="clear" w:color="auto" w:fill="FFFFFF"/>
            <w:vAlign w:val="center"/>
          </w:tcPr>
          <w:p>
            <w:pPr>
              <w:jc w:val="center"/>
            </w:pPr>
            <w:r>
              <w:rPr>
                <w:rFonts w:hint="eastAsia" w:ascii="宋体" w:hAnsi="宋体" w:cs="宋体"/>
              </w:rPr>
              <w:t xml:space="preserve">0.944</w:t>
            </w:r>
          </w:p>
        </w:tc>
        <w:tc>
          <w:tcPr>
            <w:tcW w:w="779" w:type="pct"/>
            <w:shd w:val="clear" w:color="auto" w:fill="FFFFFF"/>
            <w:vAlign w:val="center"/>
          </w:tcPr>
          <w:p>
            <w:pPr>
              <w:jc w:val="center"/>
            </w:pPr>
            <w:r>
              <w:rPr>
                <w:rFonts w:hint="eastAsia" w:ascii="宋体" w:hAnsi="宋体" w:cs="宋体"/>
              </w:rPr>
              <w:t xml:space="preserve">0.944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备注：在价值时点2024年10月17日</w:t>
      </w:r>
      <w:r>
        <w:rPr>
          <w:rFonts w:hint="eastAsia" w:ascii="宋体" w:hAnsi="宋体" w:cs="宋体"/>
          <w:sz w:val="24"/>
          <w:szCs w:val="24"/>
        </w:rPr>
        <w:t xml:space="preserve">，2024年10月份价格指数尚未公布，本次估价采用2024年09月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98108934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吴江区松陵镇江中小区1幢独栋住宅标准房基准价格评估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豪门府邸37号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金盛花园73号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绿舜花园32号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豪门府邸151幢1512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325.41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401.24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419.62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393.23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352.04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0.8645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0.8655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12783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11064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11464</w:t>
            </w:r>
          </w:p>
        </w:tc>
        <w:tc>
          <w:tcPr>
            <w:tcW w:w="922" w:type="pct"/>
            <w:shd w:val="clear" w:color="auto" w:fill="auto"/>
            <w:vAlign w:val="center"/>
          </w:tcPr>
          <w:p>
            <w:pPr>
              <w:jc w:val="center"/>
              <w:rPr>
                <w:rFonts w:ascii="宋体" w:hAnsi="宋体" w:cs="宋体"/>
              </w:rPr>
            </w:pPr>
            <w:r>
              <w:rPr>
                <w:rFonts w:hint="eastAsia" w:ascii="宋体" w:hAnsi="宋体" w:cs="宋体"/>
              </w:rPr>
              <w:t xml:space="preserve">11916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12783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102/111.26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0.8645</w:t>
            </w:r>
          </w:p>
        </w:tc>
        <w:tc>
          <w:tcPr>
            <w:tcW w:w="922" w:type="pct"/>
            <w:shd w:val="clear" w:color="auto" w:fill="auto"/>
            <w:vAlign w:val="center"/>
          </w:tcPr>
          <w:p>
            <w:pPr>
              <w:jc w:val="center"/>
              <w:rPr>
                <w:rFonts w:ascii="宋体" w:hAnsi="宋体" w:cs="宋体"/>
              </w:rPr>
            </w:pPr>
            <w:r>
              <w:rPr>
                <w:rFonts w:hint="eastAsia" w:ascii="宋体" w:hAnsi="宋体" w:cs="宋体"/>
              </w:rPr>
              <w:t xml:space="preserve">0.9393</w:t>
            </w:r>
          </w:p>
        </w:tc>
        <w:tc>
          <w:tcPr>
            <w:tcW w:w="922" w:type="pct"/>
            <w:shd w:val="clear" w:color="auto" w:fill="auto"/>
            <w:vAlign w:val="center"/>
          </w:tcPr>
          <w:p>
            <w:pPr>
              <w:jc w:val="center"/>
              <w:rPr>
                <w:rFonts w:ascii="宋体" w:hAnsi="宋体" w:cs="宋体"/>
              </w:rPr>
            </w:pPr>
            <w:r>
              <w:rPr>
                <w:rFonts w:hint="eastAsia" w:ascii="宋体" w:hAnsi="宋体" w:cs="宋体"/>
              </w:rPr>
              <w:t xml:space="preserve">0.9487</w:t>
            </w:r>
          </w:p>
        </w:tc>
        <w:tc>
          <w:tcPr>
            <w:tcW w:w="922" w:type="pct"/>
            <w:shd w:val="clear" w:color="auto" w:fill="auto"/>
            <w:vAlign w:val="center"/>
          </w:tcPr>
          <w:p>
            <w:pPr>
              <w:jc w:val="center"/>
              <w:rPr>
                <w:rFonts w:ascii="宋体" w:hAnsi="宋体" w:cs="宋体"/>
              </w:rPr>
            </w:pPr>
            <w:r>
              <w:rPr>
                <w:rFonts w:hint="eastAsia" w:ascii="宋体" w:hAnsi="宋体" w:cs="宋体"/>
              </w:rPr>
              <w:t xml:space="preserve">0.8655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9911</w:t>
            </w:r>
          </w:p>
        </w:tc>
        <w:tc>
          <w:tcPr>
            <w:tcW w:w="922" w:type="pct"/>
            <w:shd w:val="clear" w:color="auto" w:fill="auto"/>
            <w:vAlign w:val="center"/>
          </w:tcPr>
          <w:p>
            <w:pPr>
              <w:jc w:val="center"/>
              <w:rPr>
                <w:rFonts w:ascii="宋体" w:hAnsi="宋体" w:cs="宋体"/>
              </w:rPr>
            </w:pPr>
            <w:r>
              <w:rPr>
                <w:rFonts w:hint="eastAsia" w:ascii="宋体" w:hAnsi="宋体" w:cs="宋体"/>
              </w:rPr>
              <w:t xml:space="preserve">11193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10722</w:t>
            </w:r>
          </w:p>
        </w:tc>
        <w:tc>
          <w:tcPr>
            <w:tcW w:w="922" w:type="pct"/>
            <w:shd w:val="clear" w:color="auto" w:fill="auto"/>
            <w:vAlign w:val="center"/>
          </w:tcPr>
          <w:p>
            <w:pPr>
              <w:jc w:val="center"/>
              <w:rPr>
                <w:rFonts w:ascii="宋体" w:hAnsi="宋体" w:cs="宋体"/>
              </w:rPr>
            </w:pPr>
            <w:r>
              <w:rPr>
                <w:rFonts w:hint="eastAsia" w:ascii="宋体" w:hAnsi="宋体" w:cs="宋体"/>
              </w:rPr>
              <w:t xml:space="preserve">11064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9911</w:t>
            </w:r>
          </w:p>
        </w:tc>
        <w:tc>
          <w:tcPr>
            <w:tcW w:w="922" w:type="pct"/>
            <w:shd w:val="clear" w:color="auto" w:fill="auto"/>
            <w:vAlign w:val="center"/>
          </w:tcPr>
          <w:p>
            <w:pPr>
              <w:jc w:val="center"/>
              <w:rPr>
                <w:rFonts w:ascii="宋体" w:hAnsi="宋体" w:cs="宋体"/>
              </w:rPr>
            </w:pPr>
            <w:r>
              <w:rPr>
                <w:rFonts w:hint="eastAsia" w:ascii="宋体" w:hAnsi="宋体" w:cs="宋体"/>
              </w:rPr>
              <w:t xml:space="preserve">11193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10722</w:t>
            </w:r>
          </w:p>
        </w:tc>
        <w:tc>
          <w:tcPr>
            <w:tcW w:w="922" w:type="pct"/>
            <w:shd w:val="clear" w:color="auto" w:fill="auto"/>
            <w:vAlign w:val="center"/>
          </w:tcPr>
          <w:p>
            <w:pPr>
              <w:jc w:val="center"/>
              <w:rPr>
                <w:rFonts w:ascii="宋体" w:hAnsi="宋体" w:cs="宋体"/>
              </w:rPr>
            </w:pPr>
            <w:r>
              <w:rPr>
                <w:rFonts w:hint="eastAsia" w:ascii="宋体" w:hAnsi="宋体" w:cs="宋体"/>
              </w:rPr>
              <w:t xml:space="preserve">11064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10722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F32050920230047018</w:t>
            </w:r>
          </w:p>
        </w:tc>
        <w:tc>
          <w:tcPr>
            <w:tcW w:w="1842" w:type="dxa"/>
            <w:vAlign w:val="center"/>
          </w:tcPr>
          <w:p>
            <w:pPr>
              <w:jc w:val="center"/>
            </w:pPr>
            <w:r>
              <w:rPr>
                <w:rFonts w:hint="eastAsia" w:ascii="宋体" w:hAnsi="宋体" w:cs="宋体"/>
              </w:rPr>
              <w:t xml:space="preserve">F32050920230035971</w:t>
            </w:r>
          </w:p>
        </w:tc>
        <w:tc>
          <w:tcPr>
            <w:tcW w:w="1843" w:type="dxa"/>
            <w:vAlign w:val="center"/>
          </w:tcPr>
          <w:p>
            <w:pPr>
              <w:jc w:val="center"/>
            </w:pPr>
            <w:r>
              <w:rPr>
                <w:rFonts w:hint="eastAsia" w:ascii="宋体" w:hAnsi="宋体" w:cs="宋体"/>
              </w:rPr>
              <w:t xml:space="preserve">s32050922105426</w:t>
            </w:r>
          </w:p>
        </w:tc>
        <w:tc>
          <w:tcPr>
            <w:tcW w:w="1985" w:type="dxa"/>
            <w:vAlign w:val="center"/>
          </w:tcPr>
          <w:p>
            <w:pPr>
              <w:jc w:val="center"/>
            </w:pPr>
            <w:r>
              <w:rPr>
                <w:rFonts w:hint="eastAsia" w:ascii="宋体" w:hAnsi="宋体" w:cs="宋体"/>
              </w:rPr>
              <w:t xml:space="preserve">s202309190053</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豪门府邸37号</w:t>
            </w:r>
          </w:p>
        </w:tc>
        <w:tc>
          <w:tcPr>
            <w:tcW w:w="1842" w:type="dxa"/>
            <w:vAlign w:val="center"/>
          </w:tcPr>
          <w:p>
            <w:pPr>
              <w:jc w:val="center"/>
            </w:pPr>
            <w:r>
              <w:rPr>
                <w:rFonts w:hint="eastAsia" w:ascii="宋体" w:hAnsi="宋体" w:cs="宋体"/>
              </w:rPr>
              <w:t xml:space="preserve">金盛花园73号</w:t>
            </w:r>
          </w:p>
        </w:tc>
        <w:tc>
          <w:tcPr>
            <w:tcW w:w="1843" w:type="dxa"/>
            <w:vAlign w:val="center"/>
          </w:tcPr>
          <w:p>
            <w:pPr>
              <w:jc w:val="center"/>
            </w:pPr>
            <w:r>
              <w:rPr>
                <w:rFonts w:hint="eastAsia" w:ascii="宋体" w:hAnsi="宋体" w:cs="宋体"/>
              </w:rPr>
              <w:t xml:space="preserve">绿舜花园32号</w:t>
            </w:r>
          </w:p>
        </w:tc>
        <w:tc>
          <w:tcPr>
            <w:tcW w:w="1985" w:type="dxa"/>
            <w:vAlign w:val="center"/>
          </w:tcPr>
          <w:p>
            <w:pPr>
              <w:jc w:val="center"/>
            </w:pPr>
            <w:r>
              <w:rPr>
                <w:rFonts w:hint="eastAsia" w:ascii="宋体" w:hAnsi="宋体" w:cs="宋体"/>
              </w:rPr>
              <w:t xml:space="preserve">豪门府邸151幢1512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豪门府邸37号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金盛花园73号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绿舜花园32号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豪门府邸151幢1512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