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苏吴地评税字(2024)吴江第01098号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苏州市吴江区吴江经济开发区</w:t>
      </w:r>
      <w:r>
        <w:rPr>
          <w:rFonts w:ascii="宋体" w:hAnsi="宋体" w:eastAsia="宋体" w:asciiTheme="minorEastAsia" w:hAnsiTheme="minorEastAsia" w:eastAsiaTheme="minorEastAsia"/>
          <w:sz w:val="24"/>
          <w:szCs w:val="24"/>
        </w:rPr>
        <w:t xml:space="preserve">伟业迎春华府高层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2024年11月20日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估价对象位于苏州市吴江区区域范围内的伟业迎春华府住宅小区高层存量房。该小区内的物业类型包括：</w:t>
      </w:r>
      <w:r>
        <w:rPr>
          <w:rFonts w:ascii="宋体"/>
          <w:sz w:val="24"/>
        </w:rPr>
        <w:t xml:space="preserve">普通多层、小高层、高层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月修订版），结合估价人员现场查勘，选取伟业迎春华府</w:t>
      </w:r>
      <w:r>
        <w:rPr>
          <w:rFonts w:ascii="宋体"/>
          <w:sz w:val="24"/>
        </w:rPr>
        <w:t xml:space="preserve">28幢102室</w:t>
      </w:r>
      <w:r>
        <w:rPr>
          <w:rFonts w:hint="eastAsia" w:ascii="宋体"/>
          <w:sz w:val="24"/>
        </w:rPr>
        <w:t xml:space="preserve">为该小区</w:t>
      </w:r>
      <w:r>
        <w:rPr>
          <w:rFonts w:ascii="宋体"/>
          <w:sz w:val="24"/>
        </w:rPr>
        <w:t xml:space="preserve">钢混结构</w:t>
      </w:r>
      <w:r>
        <w:rPr>
          <w:rFonts w:hint="eastAsia" w:ascii="宋体"/>
          <w:sz w:val="24"/>
        </w:rPr>
        <w:t xml:space="preserve">高层的标准样本房，所在楼层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18</w:t>
      </w:r>
      <w:r>
        <w:rPr>
          <w:rFonts w:hint="eastAsia" w:ascii="宋体"/>
          <w:sz w:val="24"/>
        </w:rPr>
        <w:t xml:space="preserve">层，建筑面积</w:t>
      </w:r>
      <w:r>
        <w:rPr>
          <w:rFonts w:ascii="宋体"/>
          <w:sz w:val="24"/>
        </w:rPr>
        <w:t xml:space="preserve">85.22</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2012</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2080年09月02日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2024年11月08日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2024年11月08日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捌仟捌佰伍拾陆元整</w:t>
      </w:r>
      <w:r>
        <w:rPr>
          <w:rFonts w:hint="eastAsia" w:ascii="宋体" w:hAnsi="宋体"/>
          <w:b/>
          <w:bCs/>
          <w:sz w:val="24"/>
        </w:rPr>
        <w:t xml:space="preserve">（RMB</w:t>
      </w:r>
      <w:r>
        <w:rPr>
          <w:rFonts w:ascii="宋体" w:hAnsi="宋体"/>
          <w:b/>
          <w:bCs/>
          <w:sz w:val="24"/>
        </w:rPr>
        <w:t xml:space="preserve"> 8856</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2024年11月20日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2024年11月20日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532675903" w:id="2"/>
      <w:bookmarkStart w:name="_Toc32222391"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2024年11月20日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2024年11月20日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5.本报告作为整体使用时有效。若房地产市场无重大波动，本估价报告自出具日起一年内有效，从2024年11月20日至</w:t>
      </w:r>
      <w:r>
        <w:rPr>
          <w:rFonts w:ascii="宋体" w:hAnsi="宋体"/>
          <w:sz w:val="24"/>
        </w:rPr>
        <w:t xml:space="preserve">2025年11月19日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估价对象为伟业迎春华府</w:t>
      </w:r>
      <w:r>
        <w:rPr>
          <w:rFonts w:ascii="宋体" w:hAnsi="宋体"/>
          <w:sz w:val="24"/>
        </w:rPr>
        <w:t xml:space="preserve">28幢102室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亨通路西侧</w:t>
      </w:r>
      <w:r>
        <w:rPr>
          <w:rFonts w:hint="eastAsia" w:hAnsi="宋体"/>
          <w:sz w:val="24"/>
        </w:rPr>
        <w:t xml:space="preserve">的“伟业迎春华府”住宅区内。</w:t>
      </w:r>
      <w:r>
        <w:rPr>
          <w:rFonts w:hint="eastAsia" w:ascii="宋体" w:hAnsi="宋体"/>
          <w:sz w:val="24"/>
        </w:rPr>
        <w:t xml:space="preserve">估价对象东至</w:t>
      </w:r>
      <w:r>
        <w:rPr>
          <w:rFonts w:ascii="宋体" w:hAnsi="宋体"/>
          <w:sz w:val="24"/>
          <w:szCs w:val="24"/>
        </w:rPr>
        <w:t xml:space="preserve">亨通路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中山北路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河道</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清阳路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85.22</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亨通路西侧</w:t>
      </w:r>
      <w:r>
        <w:rPr>
          <w:rFonts w:hint="eastAsia" w:hAnsi="宋体"/>
          <w:sz w:val="24"/>
        </w:rPr>
        <w:t xml:space="preserve">的“伟业迎春华府”住宅区内。该小区内的物业类型包括：</w:t>
      </w:r>
      <w:r>
        <w:rPr>
          <w:rFonts w:hAnsi="宋体"/>
          <w:sz w:val="24"/>
        </w:rPr>
        <w:t xml:space="preserve">普通多层、小高层、高层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伟业迎春华府</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“伟业迎春华府”小区</w:t>
            </w:r>
            <w:r>
              <w:rPr>
                <w:rFonts w:ascii="Cambria" w:hAnsi="宋体" w:eastAsia="黑体" w:cs="Times New Roman" w:asciiTheme="majorHAnsi" w:cstheme="majorBidi"/>
                <w:sz w:val="15"/>
                <w:szCs w:val="15"/>
              </w:rPr>
              <w:t xml:space="preserve">28幢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由于伟业迎春华府市场交易不活跃，片区内可选案例较少，因此选择的案例A，B，C，D，距离在3公里以外。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伟业迎春华府住宅2024年11月挂牌均价13944元/平方米，较年初持平。待评估二手房住宅近9个月（2024年03月-2024年11月）挂牌均价波动幅度较小，价格维持在13944-16035元/平方米之间。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均价说明：伟业迎春华府小区物业类型包括：普通多层、小高层、高层,房源均价为:13944元/平方米，包含毛坯价值以及附带装修价值。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该房屋为18层住宅楼的第1层，建于2012年，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85.22</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2080年09月02日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2024年11月08日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捌仟捌佰伍拾陆元整</w:t>
      </w:r>
      <w:r>
        <w:rPr>
          <w:rFonts w:hint="eastAsia" w:ascii="宋体" w:hAnsi="宋体"/>
          <w:b/>
          <w:bCs/>
          <w:sz w:val="24"/>
        </w:rPr>
        <w:t xml:space="preserve">（RMB </w:t>
      </w:r>
      <w:r>
        <w:rPr>
          <w:rFonts w:ascii="宋体" w:hAnsi="宋体"/>
          <w:b/>
          <w:bCs/>
          <w:sz w:val="24"/>
        </w:rPr>
        <w:t xml:space="preserve">8856</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75.47</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8856</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2024年11月20日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2024年11月20日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本次实地查勘期为2024年11月08日，并于当日完成现场查勘。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2024年11月08日</w:t>
      </w:r>
      <w:r>
        <w:rPr>
          <w:rFonts w:hint="eastAsia" w:ascii="宋体"/>
          <w:sz w:val="24"/>
        </w:rPr>
        <w:t xml:space="preserve">至2024年11月20日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估价对象为苏州市吴江区“伟业迎春华府”住宅区内的</w:t>
      </w:r>
      <w:r>
        <w:rPr>
          <w:rFonts w:hAnsi="宋体"/>
          <w:sz w:val="24"/>
        </w:rPr>
        <w:t xml:space="preserve">高层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位于清阳路南侧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清阳路南侧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附近有91路、92路、712路、快线6号等多条公交线路</w:t>
      </w:r>
      <w:r>
        <w:rPr>
          <w:rFonts w:hint="eastAsia" w:hAnsi="宋体"/>
          <w:sz w:val="24"/>
        </w:rPr>
        <w:t xml:space="preserve">，</w:t>
      </w:r>
      <w:r>
        <w:rPr>
          <w:rFonts w:hAnsi="宋体"/>
          <w:sz w:val="24"/>
        </w:rPr>
        <w:t xml:space="preserve">至公交站点的距离约为100米，公交班次平均隔10分钟有一辆汽车通过。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好又多(花港路)</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中国邮政储蓄银行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清树湾农贸市场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花港迎春幼儿园</w:t>
      </w:r>
      <w:r>
        <w:rPr>
          <w:rFonts w:hint="eastAsia" w:ascii="宋体" w:hAnsi="宋体" w:eastAsia="宋体" w:asciiTheme="minorEastAsia" w:hAnsiTheme="minorEastAsia" w:eastAsiaTheme="minorEastAsia"/>
          <w:sz w:val="24"/>
        </w:rPr>
        <w:t xml:space="preserve">、</w:t>
      </w:r>
      <w:r>
        <w:rPr>
          <w:rFonts w:hAnsi="宋体"/>
          <w:sz w:val="24"/>
        </w:rPr>
        <w:t xml:space="preserve">花港迎春小学</w:t>
      </w:r>
      <w:r>
        <w:rPr>
          <w:rFonts w:hint="eastAsia" w:hAnsi="宋体"/>
          <w:sz w:val="24"/>
        </w:rPr>
        <w:t xml:space="preserve">、</w:t>
      </w:r>
      <w:r>
        <w:rPr>
          <w:rFonts w:hAnsi="宋体"/>
          <w:sz w:val="24"/>
        </w:rPr>
        <w:t xml:space="preserve">吴江高级中学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2080年09月02日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亨通路</w:t>
      </w:r>
      <w:r>
        <w:rPr>
          <w:rFonts w:hint="eastAsia" w:ascii="宋体" w:hAnsi="宋体"/>
          <w:sz w:val="24"/>
        </w:rPr>
        <w:t xml:space="preserve">，南至</w:t>
      </w:r>
      <w:r>
        <w:rPr>
          <w:rFonts w:ascii="宋体" w:hAnsi="宋体"/>
          <w:sz w:val="24"/>
        </w:rPr>
        <w:t xml:space="preserve">中山北路</w:t>
      </w:r>
      <w:r>
        <w:rPr>
          <w:rFonts w:hint="eastAsia" w:ascii="宋体" w:hAnsi="宋体"/>
          <w:sz w:val="24"/>
        </w:rPr>
        <w:t xml:space="preserve">，西至</w:t>
      </w:r>
      <w:r>
        <w:rPr>
          <w:rFonts w:ascii="宋体" w:hAnsi="宋体"/>
          <w:sz w:val="24"/>
        </w:rPr>
        <w:t xml:space="preserve">河道</w:t>
      </w:r>
      <w:r>
        <w:rPr>
          <w:rFonts w:hint="eastAsia" w:ascii="宋体" w:hAnsi="宋体"/>
          <w:sz w:val="24"/>
        </w:rPr>
        <w:t xml:space="preserve">，北至</w:t>
      </w:r>
      <w:r>
        <w:rPr>
          <w:rFonts w:ascii="宋体" w:hAnsi="宋体"/>
          <w:sz w:val="24"/>
        </w:rPr>
        <w:t xml:space="preserve">清阳路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估价对象为坐落于苏州市吴江区伟业迎春华府</w:t>
      </w:r>
      <w:r>
        <w:t xml:space="preserve"> </w:t>
      </w:r>
      <w:r>
        <w:rPr>
          <w:rFonts w:ascii="宋体" w:hAnsi="宋体"/>
          <w:kern w:val="2"/>
          <w:sz w:val="24"/>
        </w:rPr>
        <w:t xml:space="preserve">28幢102室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估价对象为高层建筑，建筑面积为</w:t>
      </w:r>
      <w:r>
        <w:rPr>
          <w:rFonts w:hAnsi="宋体"/>
          <w:sz w:val="24"/>
        </w:rPr>
        <w:t xml:space="preserve">85.22</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3层数、层高：估价对象位于总楼层为18层的第1层，层高约2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两室两厅一卫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楼梯及电梯</w:t>
      </w:r>
      <w:r>
        <w:rPr>
          <w:rFonts w:hint="eastAsia" w:hAnsi="宋体"/>
          <w:sz w:val="24"/>
        </w:rPr>
        <w:t xml:space="preserve">，具备供水、排水、供电、通信、网络等设施，设施较齐备，智能化程度一般，</w:t>
      </w:r>
      <w:r>
        <w:rPr>
          <w:rFonts w:hAnsi="宋体"/>
          <w:sz w:val="24"/>
        </w:rPr>
        <w:t xml:space="preserve">全封闭式物业管理，24小时有保安巡逻及监控系统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估价对象建成于2012年，基础较为稳固，未见沉降；墙面、地面、门窗等保养完好，综合保养成新度为</w:t>
      </w:r>
      <w:r>
        <w:rPr>
          <w:rFonts w:hAnsi="宋体"/>
          <w:sz w:val="24"/>
        </w:rPr>
        <w:t xml:space="preserve">九成新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0"/>
      <w:bookmarkStart w:name="_Hlk159245597" w:id="11"/>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0"/>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1"/>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2"/>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2"/>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Pr>
          <w:rFonts w:ascii="宋体" w:hAnsi="宋体"/>
          <w:sz w:val="24"/>
          <w:szCs w:val="24"/>
        </w:rPr>
        <w:t xml:space="preserve">。</w:t>
      </w:r>
      <w:bookmarkEnd w:id="14"/>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bookmarkStart w:name="_GoBack" w:id="15"/>
      <w:bookmarkEnd w:id="15"/>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伟业迎春华府住宅2024年11月挂牌均价13944元/平方米，较年初持平。待评估二手房住宅近9个月（2024年03月-2024年11月）挂牌均价波动幅度较小，价格维持在13944-16035元/平方米之间。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苏州市吴江区伟业迎春华府</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F32050920240021565</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F32050920230054029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s202406030231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s202404110054</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吴江区吴江经济开发区伟业迎春华府28幢102室高层住宅标准房基准价格评估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山湖弘雅苑28幢905</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美岸青城51幢301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太湖鼎城5幢102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南长安花园103幢1202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85.22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93.94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139.92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74.24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142.19</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9/26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3/19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12/33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2024年11月08日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2024年05月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2024年05月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2024年03月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2024年05月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9001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9648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9429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9218</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指数，吴江区2023年11月至2024年10月住宅月度价格指数表为：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2024年02月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2024年03月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2024年04月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2024年05月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2024年06月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1939</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2024年07月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2024年08月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2024年09月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2024年10月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1917</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1913</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1919</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2024年10月08日</w:t>
            </w:r>
          </w:p>
        </w:tc>
        <w:tc>
          <w:tcPr>
            <w:tcW w:w="778" w:type="pct"/>
            <w:shd w:val="clear" w:color="auto" w:fill="FFFFFF"/>
            <w:vAlign w:val="center"/>
          </w:tcPr>
          <w:p>
            <w:pPr>
              <w:jc w:val="center"/>
            </w:pPr>
            <w:r>
              <w:rPr>
                <w:rFonts w:hint="eastAsia" w:ascii="宋体" w:hAnsi="宋体" w:cs="宋体"/>
              </w:rPr>
              <w:t xml:space="preserve">2024年05月</w:t>
            </w:r>
          </w:p>
        </w:tc>
        <w:tc>
          <w:tcPr>
            <w:tcW w:w="779" w:type="pct"/>
            <w:shd w:val="clear" w:color="auto" w:fill="FFFFFF"/>
            <w:vAlign w:val="center"/>
          </w:tcPr>
          <w:p>
            <w:pPr>
              <w:jc w:val="center"/>
            </w:pPr>
            <w:r>
              <w:rPr>
                <w:rFonts w:hint="eastAsia" w:ascii="宋体" w:hAnsi="宋体" w:cs="宋体"/>
              </w:rPr>
              <w:t xml:space="preserve">2024年05月</w:t>
            </w:r>
          </w:p>
        </w:tc>
        <w:tc>
          <w:tcPr>
            <w:tcW w:w="779" w:type="pct"/>
            <w:shd w:val="clear" w:color="auto" w:fill="FFFFFF"/>
            <w:vAlign w:val="center"/>
          </w:tcPr>
          <w:p>
            <w:pPr>
              <w:jc w:val="center"/>
            </w:pPr>
            <w:r>
              <w:rPr>
                <w:rFonts w:hint="eastAsia" w:ascii="宋体" w:hAnsi="宋体" w:cs="宋体"/>
              </w:rPr>
              <w:t xml:space="preserve">2024年03月</w:t>
            </w:r>
          </w:p>
        </w:tc>
        <w:tc>
          <w:tcPr>
            <w:tcW w:w="779" w:type="pct"/>
            <w:shd w:val="clear" w:color="auto" w:fill="FFFFFF"/>
            <w:vAlign w:val="center"/>
          </w:tcPr>
          <w:p>
            <w:pPr>
              <w:jc w:val="center"/>
            </w:pPr>
            <w:r>
              <w:rPr>
                <w:rFonts w:hint="eastAsia" w:ascii="宋体" w:hAnsi="宋体" w:cs="宋体"/>
              </w:rPr>
              <w:t xml:space="preserve">2024年05月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9001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9648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9429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9218</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1919</w:t>
            </w:r>
          </w:p>
        </w:tc>
        <w:tc>
          <w:tcPr>
            <w:tcW w:w="778" w:type="pct"/>
            <w:shd w:val="clear" w:color="auto" w:fill="FFFFFF"/>
            <w:vAlign w:val="center"/>
          </w:tcPr>
          <w:p>
            <w:pPr>
              <w:jc w:val="center"/>
            </w:pPr>
            <w:r>
              <w:rPr>
                <w:rFonts w:hint="eastAsia" w:ascii="宋体" w:hAnsi="宋体" w:cs="宋体"/>
              </w:rPr>
              <w:t xml:space="preserve">1939</w:t>
            </w:r>
          </w:p>
        </w:tc>
        <w:tc>
          <w:tcPr>
            <w:tcW w:w="779" w:type="pct"/>
            <w:shd w:val="clear" w:color="auto" w:fill="FFFFFF"/>
            <w:vAlign w:val="center"/>
          </w:tcPr>
          <w:p>
            <w:pPr>
              <w:jc w:val="center"/>
            </w:pPr>
            <w:r>
              <w:rPr>
                <w:rFonts w:hint="eastAsia" w:ascii="宋体" w:hAnsi="宋体" w:cs="宋体"/>
              </w:rPr>
              <w:t xml:space="preserve">1939</w:t>
            </w:r>
          </w:p>
        </w:tc>
        <w:tc>
          <w:tcPr>
            <w:tcW w:w="779" w:type="pct"/>
            <w:shd w:val="clear" w:color="auto" w:fill="FFFFFF"/>
            <w:vAlign w:val="center"/>
          </w:tcPr>
          <w:p>
            <w:pPr>
              <w:jc w:val="center"/>
            </w:pPr>
            <w:r>
              <w:rPr>
                <w:rFonts w:hint="eastAsia" w:ascii="宋体" w:hAnsi="宋体" w:cs="宋体"/>
              </w:rPr>
              <w:t xml:space="preserve">1971</w:t>
            </w:r>
          </w:p>
        </w:tc>
        <w:tc>
          <w:tcPr>
            <w:tcW w:w="779" w:type="pct"/>
            <w:shd w:val="clear" w:color="auto" w:fill="FFFFFF"/>
            <w:vAlign w:val="center"/>
          </w:tcPr>
          <w:p>
            <w:pPr>
              <w:jc w:val="center"/>
            </w:pPr>
            <w:r>
              <w:rPr>
                <w:rFonts w:hint="eastAsia" w:ascii="宋体" w:hAnsi="宋体" w:cs="宋体"/>
              </w:rPr>
              <w:t xml:space="preserve">1939</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1919/1919</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1919/1939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1919/1939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1919/1971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1919/1939</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0.99</w:t>
            </w:r>
          </w:p>
        </w:tc>
        <w:tc>
          <w:tcPr>
            <w:tcW w:w="779" w:type="pct"/>
            <w:shd w:val="clear" w:color="auto" w:fill="FFFFFF"/>
            <w:vAlign w:val="center"/>
          </w:tcPr>
          <w:p>
            <w:pPr>
              <w:jc w:val="center"/>
            </w:pPr>
            <w:r>
              <w:rPr>
                <w:rFonts w:hint="eastAsia" w:ascii="宋体" w:hAnsi="宋体" w:cs="宋体"/>
              </w:rPr>
              <w:t xml:space="preserve">0.99</w:t>
            </w:r>
          </w:p>
        </w:tc>
        <w:tc>
          <w:tcPr>
            <w:tcW w:w="779" w:type="pct"/>
            <w:shd w:val="clear" w:color="auto" w:fill="FFFFFF"/>
            <w:vAlign w:val="center"/>
          </w:tcPr>
          <w:p>
            <w:pPr>
              <w:jc w:val="center"/>
            </w:pPr>
            <w:r>
              <w:rPr>
                <w:rFonts w:hint="eastAsia" w:ascii="宋体" w:hAnsi="宋体" w:cs="宋体"/>
              </w:rPr>
              <w:t xml:space="preserve">0.974</w:t>
            </w:r>
          </w:p>
        </w:tc>
        <w:tc>
          <w:tcPr>
            <w:tcW w:w="779" w:type="pct"/>
            <w:shd w:val="clear" w:color="auto" w:fill="FFFFFF"/>
            <w:vAlign w:val="center"/>
          </w:tcPr>
          <w:p>
            <w:pPr>
              <w:jc w:val="center"/>
            </w:pPr>
            <w:r>
              <w:rPr>
                <w:rFonts w:hint="eastAsia" w:ascii="宋体" w:hAnsi="宋体" w:cs="宋体"/>
              </w:rPr>
              <w:t xml:space="preserve">0.99</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备注：在价值时点2024年11月08日</w:t>
      </w:r>
      <w:r>
        <w:rPr>
          <w:rFonts w:hint="eastAsia" w:ascii="宋体" w:hAnsi="宋体" w:cs="宋体"/>
          <w:sz w:val="24"/>
          <w:szCs w:val="24"/>
        </w:rPr>
        <w:t xml:space="preserve">，2024年11月份价格指数尚未公布，本次估价采用2024年10月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6"/>
      <w:bookmarkStart w:name="_Toc352325665" w:id="17"/>
      <w:r>
        <w:rPr>
          <w:rFonts w:hint="eastAsia" w:ascii="宋体" w:hAnsi="宋体" w:cs="宋体"/>
          <w:b/>
          <w:sz w:val="21"/>
          <w:szCs w:val="21"/>
        </w:rPr>
        <w:t xml:space="preserve">（1）住宅房屋层次因素系数表</w:t>
      </w:r>
      <w:bookmarkEnd w:id="16"/>
      <w:bookmarkEnd w:id="17"/>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8"/>
      <w:bookmarkStart w:name="_Toc352325666" w:id="19"/>
      <w:r>
        <w:rPr>
          <w:rFonts w:hint="eastAsia" w:ascii="宋体" w:hAnsi="宋体" w:cs="宋体"/>
          <w:b/>
          <w:sz w:val="21"/>
          <w:szCs w:val="21"/>
        </w:rPr>
        <w:t xml:space="preserve">（2）住宅结构因素修正系数表</w:t>
      </w:r>
      <w:bookmarkEnd w:id="18"/>
      <w:bookmarkEnd w:id="19"/>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20"/>
            <w:bookmarkStart w:name="_Toc351596837" w:id="21"/>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20"/>
      <w:bookmarkEnd w:id="21"/>
    </w:p>
    <w:p>
      <w:pPr>
        <w:rPr>
          <w:vanish/>
          <w:sz w:val="21"/>
          <w:szCs w:val="21"/>
        </w:rPr>
      </w:pPr>
      <w:bookmarkStart w:name="_Toc352325668" w:id="22"/>
      <w:bookmarkStart w:name="_Toc351596838" w:id="23"/>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22"/>
      <w:bookmarkEnd w:id="23"/>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4"/>
            <w:bookmarkStart w:name="_Toc352325669" w:id="25"/>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2003662731"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4"/>
      <w:bookmarkEnd w:id="25"/>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吴江区吴江经济开发区伟业迎春华府28幢102室高层住宅标准房基准价格评估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山湖弘雅苑28幢905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美岸青城51幢301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太湖鼎城5幢102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南长安花园103幢1202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85.22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93.94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139.92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74.24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142.19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113.44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111.26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116.22</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0.9616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0.9386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0.9853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0.9853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0.9597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0.9156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9648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9429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9218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8569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9364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9049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8440</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9001</w:t>
            </w:r>
          </w:p>
        </w:tc>
        <w:tc>
          <w:tcPr>
            <w:tcW w:w="922" w:type="pct"/>
            <w:shd w:val="clear" w:color="auto" w:fill="auto"/>
            <w:vAlign w:val="center"/>
          </w:tcPr>
          <w:p>
            <w:pPr>
              <w:jc w:val="center"/>
              <w:rPr>
                <w:rFonts w:ascii="宋体" w:hAnsi="宋体" w:cs="宋体"/>
              </w:rPr>
            </w:pPr>
            <w:r>
              <w:rPr>
                <w:rFonts w:hint="eastAsia" w:ascii="宋体" w:hAnsi="宋体" w:cs="宋体"/>
              </w:rPr>
              <w:t xml:space="preserve">9648</w:t>
            </w:r>
          </w:p>
        </w:tc>
        <w:tc>
          <w:tcPr>
            <w:tcW w:w="922" w:type="pct"/>
            <w:shd w:val="clear" w:color="auto" w:fill="auto"/>
            <w:vAlign w:val="center"/>
          </w:tcPr>
          <w:p>
            <w:pPr>
              <w:jc w:val="center"/>
              <w:rPr>
                <w:rFonts w:ascii="宋体" w:hAnsi="宋体" w:cs="宋体"/>
              </w:rPr>
            </w:pPr>
            <w:r>
              <w:rPr>
                <w:rFonts w:hint="eastAsia" w:ascii="宋体" w:hAnsi="宋体" w:cs="宋体"/>
              </w:rPr>
              <w:t xml:space="preserve">9429</w:t>
            </w:r>
          </w:p>
        </w:tc>
        <w:tc>
          <w:tcPr>
            <w:tcW w:w="922" w:type="pct"/>
            <w:shd w:val="clear" w:color="auto" w:fill="auto"/>
            <w:vAlign w:val="center"/>
          </w:tcPr>
          <w:p>
            <w:pPr>
              <w:jc w:val="center"/>
              <w:rPr>
                <w:rFonts w:ascii="宋体" w:hAnsi="宋体" w:cs="宋体"/>
              </w:rPr>
            </w:pPr>
            <w:r>
              <w:rPr>
                <w:rFonts w:hint="eastAsia" w:ascii="宋体" w:hAnsi="宋体" w:cs="宋体"/>
              </w:rPr>
              <w:t xml:space="preserve">9218</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0.99</w:t>
            </w:r>
          </w:p>
        </w:tc>
        <w:tc>
          <w:tcPr>
            <w:tcW w:w="922" w:type="pct"/>
            <w:shd w:val="clear" w:color="auto" w:fill="auto"/>
            <w:vAlign w:val="center"/>
          </w:tcPr>
          <w:p>
            <w:pPr>
              <w:jc w:val="center"/>
              <w:rPr>
                <w:rFonts w:ascii="宋体" w:hAnsi="宋体" w:cs="宋体"/>
              </w:rPr>
            </w:pPr>
            <w:r>
              <w:rPr>
                <w:rFonts w:hint="eastAsia" w:ascii="宋体" w:hAnsi="宋体" w:cs="宋体"/>
              </w:rPr>
              <w:t xml:space="preserve">0.99</w:t>
            </w:r>
          </w:p>
        </w:tc>
        <w:tc>
          <w:tcPr>
            <w:tcW w:w="922" w:type="pct"/>
            <w:shd w:val="clear" w:color="auto" w:fill="auto"/>
            <w:vAlign w:val="center"/>
          </w:tcPr>
          <w:p>
            <w:pPr>
              <w:jc w:val="center"/>
              <w:rPr>
                <w:rFonts w:ascii="宋体" w:hAnsi="宋体" w:cs="宋体"/>
              </w:rPr>
            </w:pPr>
            <w:r>
              <w:rPr>
                <w:rFonts w:hint="eastAsia" w:ascii="宋体" w:hAnsi="宋体" w:cs="宋体"/>
              </w:rPr>
              <w:t xml:space="preserve">0.974</w:t>
            </w:r>
          </w:p>
        </w:tc>
        <w:tc>
          <w:tcPr>
            <w:tcW w:w="922" w:type="pct"/>
            <w:shd w:val="clear" w:color="auto" w:fill="auto"/>
            <w:vAlign w:val="center"/>
          </w:tcPr>
          <w:p>
            <w:pPr>
              <w:jc w:val="center"/>
              <w:rPr>
                <w:rFonts w:ascii="宋体" w:hAnsi="宋体" w:cs="宋体"/>
              </w:rPr>
            </w:pPr>
            <w:r>
              <w:rPr>
                <w:rFonts w:hint="eastAsia" w:ascii="宋体" w:hAnsi="宋体" w:cs="宋体"/>
              </w:rPr>
              <w:t xml:space="preserve">0.99</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109.08/113.44</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109.08/111.26</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109.08/109.08</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109.08/116.22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100.5/102</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0.952</w:t>
            </w:r>
          </w:p>
        </w:tc>
        <w:tc>
          <w:tcPr>
            <w:tcW w:w="922" w:type="pct"/>
            <w:shd w:val="clear" w:color="auto" w:fill="auto"/>
            <w:vAlign w:val="center"/>
          </w:tcPr>
          <w:p>
            <w:pPr>
              <w:jc w:val="center"/>
              <w:rPr>
                <w:rFonts w:ascii="宋体" w:hAnsi="宋体" w:cs="宋体"/>
              </w:rPr>
            </w:pPr>
            <w:r>
              <w:rPr>
                <w:rFonts w:hint="eastAsia" w:ascii="宋体" w:hAnsi="宋体" w:cs="宋体"/>
              </w:rPr>
              <w:t xml:space="preserve">0.9706</w:t>
            </w:r>
          </w:p>
        </w:tc>
        <w:tc>
          <w:tcPr>
            <w:tcW w:w="922" w:type="pct"/>
            <w:shd w:val="clear" w:color="auto" w:fill="auto"/>
            <w:vAlign w:val="center"/>
          </w:tcPr>
          <w:p>
            <w:pPr>
              <w:jc w:val="center"/>
              <w:rPr>
                <w:rFonts w:ascii="宋体" w:hAnsi="宋体" w:cs="宋体"/>
              </w:rPr>
            </w:pPr>
            <w:r>
              <w:rPr>
                <w:rFonts w:hint="eastAsia" w:ascii="宋体" w:hAnsi="宋体" w:cs="宋体"/>
              </w:rPr>
              <w:t xml:space="preserve">0.9597</w:t>
            </w:r>
          </w:p>
        </w:tc>
        <w:tc>
          <w:tcPr>
            <w:tcW w:w="922" w:type="pct"/>
            <w:shd w:val="clear" w:color="auto" w:fill="auto"/>
            <w:vAlign w:val="center"/>
          </w:tcPr>
          <w:p>
            <w:pPr>
              <w:jc w:val="center"/>
              <w:rPr>
                <w:rFonts w:ascii="宋体" w:hAnsi="宋体" w:cs="宋体"/>
              </w:rPr>
            </w:pPr>
            <w:r>
              <w:rPr>
                <w:rFonts w:hint="eastAsia" w:ascii="宋体" w:hAnsi="宋体" w:cs="宋体"/>
              </w:rPr>
              <w:t xml:space="preserve">0.9156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8569</w:t>
            </w:r>
          </w:p>
        </w:tc>
        <w:tc>
          <w:tcPr>
            <w:tcW w:w="922" w:type="pct"/>
            <w:shd w:val="clear" w:color="auto" w:fill="auto"/>
            <w:vAlign w:val="center"/>
          </w:tcPr>
          <w:p>
            <w:pPr>
              <w:jc w:val="center"/>
              <w:rPr>
                <w:rFonts w:ascii="宋体" w:hAnsi="宋体" w:cs="宋体"/>
              </w:rPr>
            </w:pPr>
            <w:r>
              <w:rPr>
                <w:rFonts w:hint="eastAsia" w:ascii="宋体" w:hAnsi="宋体" w:cs="宋体"/>
              </w:rPr>
              <w:t xml:space="preserve">9364</w:t>
            </w:r>
          </w:p>
        </w:tc>
        <w:tc>
          <w:tcPr>
            <w:tcW w:w="922" w:type="pct"/>
            <w:shd w:val="clear" w:color="auto" w:fill="auto"/>
            <w:vAlign w:val="center"/>
          </w:tcPr>
          <w:p>
            <w:pPr>
              <w:jc w:val="center"/>
              <w:rPr>
                <w:rFonts w:ascii="宋体" w:hAnsi="宋体" w:cs="宋体"/>
              </w:rPr>
            </w:pPr>
            <w:r>
              <w:rPr>
                <w:rFonts w:hint="eastAsia" w:ascii="宋体" w:hAnsi="宋体" w:cs="宋体"/>
              </w:rPr>
              <w:t xml:space="preserve">9049</w:t>
            </w:r>
          </w:p>
        </w:tc>
        <w:tc>
          <w:tcPr>
            <w:tcW w:w="922" w:type="pct"/>
            <w:shd w:val="clear" w:color="auto" w:fill="auto"/>
            <w:vAlign w:val="center"/>
          </w:tcPr>
          <w:p>
            <w:pPr>
              <w:jc w:val="center"/>
              <w:rPr>
                <w:rFonts w:ascii="宋体" w:hAnsi="宋体" w:cs="宋体"/>
              </w:rPr>
            </w:pPr>
            <w:r>
              <w:rPr>
                <w:rFonts w:hint="eastAsia" w:ascii="宋体" w:hAnsi="宋体" w:cs="宋体"/>
              </w:rPr>
              <w:t xml:space="preserve">8440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8569</w:t>
            </w:r>
          </w:p>
        </w:tc>
        <w:tc>
          <w:tcPr>
            <w:tcW w:w="922" w:type="pct"/>
            <w:shd w:val="clear" w:color="auto" w:fill="auto"/>
            <w:vAlign w:val="center"/>
          </w:tcPr>
          <w:p>
            <w:pPr>
              <w:jc w:val="center"/>
              <w:rPr>
                <w:rFonts w:ascii="宋体" w:hAnsi="宋体" w:cs="宋体"/>
              </w:rPr>
            </w:pPr>
            <w:r>
              <w:rPr>
                <w:rFonts w:hint="eastAsia" w:ascii="宋体" w:hAnsi="宋体" w:cs="宋体"/>
              </w:rPr>
              <w:t xml:space="preserve">9364</w:t>
            </w:r>
          </w:p>
        </w:tc>
        <w:tc>
          <w:tcPr>
            <w:tcW w:w="922" w:type="pct"/>
            <w:shd w:val="clear" w:color="auto" w:fill="auto"/>
            <w:vAlign w:val="center"/>
          </w:tcPr>
          <w:p>
            <w:pPr>
              <w:jc w:val="center"/>
              <w:rPr>
                <w:rFonts w:ascii="宋体" w:hAnsi="宋体" w:cs="宋体"/>
              </w:rPr>
            </w:pPr>
            <w:r>
              <w:rPr>
                <w:rFonts w:hint="eastAsia" w:ascii="宋体" w:hAnsi="宋体" w:cs="宋体"/>
              </w:rPr>
              <w:t xml:space="preserve">9049</w:t>
            </w:r>
          </w:p>
        </w:tc>
        <w:tc>
          <w:tcPr>
            <w:tcW w:w="922" w:type="pct"/>
            <w:shd w:val="clear" w:color="auto" w:fill="auto"/>
            <w:vAlign w:val="center"/>
          </w:tcPr>
          <w:p>
            <w:pPr>
              <w:jc w:val="center"/>
              <w:rPr>
                <w:rFonts w:ascii="宋体" w:hAnsi="宋体" w:cs="宋体"/>
              </w:rPr>
            </w:pPr>
            <w:r>
              <w:rPr>
                <w:rFonts w:hint="eastAsia" w:ascii="宋体" w:hAnsi="宋体" w:cs="宋体"/>
              </w:rPr>
              <w:t xml:space="preserve">8440</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8856</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6"/>
      <w:bookmarkStart w:name="_Toc32222395" w:id="27"/>
      <w:r>
        <w:rPr>
          <w:rFonts w:hint="eastAsia" w:ascii="黑体" w:eastAsia="黑体"/>
          <w:sz w:val="48"/>
        </w:rPr>
        <w:t xml:space="preserve">附    件</w:t>
      </w:r>
      <w:bookmarkEnd w:id="26"/>
      <w:bookmarkEnd w:id="27"/>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F32050920240021565</w:t>
            </w:r>
          </w:p>
        </w:tc>
        <w:tc>
          <w:tcPr>
            <w:tcW w:w="1842" w:type="dxa"/>
            <w:vAlign w:val="center"/>
          </w:tcPr>
          <w:p>
            <w:pPr>
              <w:jc w:val="center"/>
            </w:pPr>
            <w:r>
              <w:rPr>
                <w:rFonts w:hint="eastAsia" w:ascii="宋体" w:hAnsi="宋体" w:cs="宋体"/>
              </w:rPr>
              <w:t xml:space="preserve">F32050920230054029</w:t>
            </w:r>
          </w:p>
        </w:tc>
        <w:tc>
          <w:tcPr>
            <w:tcW w:w="1843" w:type="dxa"/>
            <w:vAlign w:val="center"/>
          </w:tcPr>
          <w:p>
            <w:pPr>
              <w:jc w:val="center"/>
            </w:pPr>
            <w:r>
              <w:rPr>
                <w:rFonts w:hint="eastAsia" w:ascii="宋体" w:hAnsi="宋体" w:cs="宋体"/>
              </w:rPr>
              <w:t xml:space="preserve">s202406030231</w:t>
            </w:r>
          </w:p>
        </w:tc>
        <w:tc>
          <w:tcPr>
            <w:tcW w:w="1985" w:type="dxa"/>
            <w:vAlign w:val="center"/>
          </w:tcPr>
          <w:p>
            <w:pPr>
              <w:jc w:val="center"/>
            </w:pPr>
            <w:r>
              <w:rPr>
                <w:rFonts w:hint="eastAsia" w:ascii="宋体" w:hAnsi="宋体" w:cs="宋体"/>
              </w:rPr>
              <w:t xml:space="preserve">s202404110054</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山湖弘雅苑28幢905</w:t>
            </w:r>
          </w:p>
        </w:tc>
        <w:tc>
          <w:tcPr>
            <w:tcW w:w="1842" w:type="dxa"/>
            <w:vAlign w:val="center"/>
          </w:tcPr>
          <w:p>
            <w:pPr>
              <w:jc w:val="center"/>
            </w:pPr>
            <w:r>
              <w:rPr>
                <w:rFonts w:hint="eastAsia" w:ascii="宋体" w:hAnsi="宋体" w:cs="宋体"/>
              </w:rPr>
              <w:t xml:space="preserve">美岸青城51幢301</w:t>
            </w:r>
          </w:p>
        </w:tc>
        <w:tc>
          <w:tcPr>
            <w:tcW w:w="1843" w:type="dxa"/>
            <w:vAlign w:val="center"/>
          </w:tcPr>
          <w:p>
            <w:pPr>
              <w:jc w:val="center"/>
            </w:pPr>
            <w:r>
              <w:rPr>
                <w:rFonts w:hint="eastAsia" w:ascii="宋体" w:hAnsi="宋体" w:cs="宋体"/>
              </w:rPr>
              <w:t xml:space="preserve">太湖鼎城5幢102</w:t>
            </w:r>
          </w:p>
        </w:tc>
        <w:tc>
          <w:tcPr>
            <w:tcW w:w="1985" w:type="dxa"/>
            <w:vAlign w:val="center"/>
          </w:tcPr>
          <w:p>
            <w:pPr>
              <w:jc w:val="center"/>
            </w:pPr>
            <w:r>
              <w:rPr>
                <w:rFonts w:hint="eastAsia" w:ascii="宋体" w:hAnsi="宋体" w:cs="宋体"/>
              </w:rPr>
              <w:t xml:space="preserve">南长安花园103幢1202</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山湖弘雅苑28幢905</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美岸青城51幢301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太湖鼎城5幢102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南长安花园103幢1202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1"/>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4"/>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5"/>
                </v:shape>
              </w:pict>
            </w:r>
          </w:p>
        </w:tc>
      </w:tr>
    </w:tbl>
    <w:p>
      <w:pPr>
        <w:spacing w:line="360" w:lineRule="auto"/>
        <w:jc w:val="both"/>
        <w:rPr>
          <w:rFonts w:ascii="仿宋_GB2312" w:hAnsi="华文仿宋" w:eastAsia="仿宋_GB2312"/>
          <w:bCs/>
          <w:sz w:val="28"/>
          <w:szCs w:val="28"/>
        </w:rPr>
      </w:pPr>
    </w:p>
    <w:sectPr>
      <w:footerReference w:type="default" r:id="rId26"/>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楷体_GB2312">
    <w:panose1 w:val="00000000000000000000"/>
    <w:charset w:val="86"/>
    <w:family w:val="modern"/>
    <w:pitch w:val="default"/>
    <w:sig w:usb0="00000000" w:usb1="00000000" w:usb2="00000010"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default"/>
    <w:sig w:usb0="00000000" w:usb1="00000000" w:usb2="00000010" w:usb3="00000000" w:csb0="0004009F" w:csb1="00000000"/>
  </w:font>
  <w:font w:name="Georgia">
    <w:panose1 w:val="02040502050405020303"/>
    <w:charset w:val="00"/>
    <w:family w:val="auto"/>
    <w:pitch w:val="default"/>
    <w:sig w:usb0="00000287" w:usb1="00000000" w:usb2="00000000" w:usb3="00000000" w:csb0="2000009F" w:csb1="00000000"/>
  </w:font>
  <w:font w:name="汉仪楷体KW">
    <w:panose1 w:val="00020600040101010101"/>
    <w:charset w:val="86"/>
    <w:family w:val="auto"/>
    <w:pitch w:val="default"/>
    <w:sig w:usb0="A00002BF" w:usb1="18EF7CFA" w:usb2="00000016" w:usb3="00000000" w:csb0="00040000" w:csb1="00000000"/>
  </w:font>
  <w:font w:name="C059">
    <w:panose1 w:val="00000500000000000000"/>
    <w:charset w:val="00"/>
    <w:family w:val="auto"/>
    <w:pitch w:val="default"/>
    <w:sig w:usb0="00000287" w:usb1="00000800" w:usb2="00000000" w:usb3="00000000" w:csb0="6000009F" w:csb1="00000000"/>
  </w:font>
  <w:font w:name="Noto Serif CJK SC">
    <w:panose1 w:val="02020400000000000000"/>
    <w:charset w:val="86"/>
    <w:family w:val="auto"/>
    <w:pitch w:val="default"/>
    <w:sig w:usb0="30000083" w:usb1="2BDF3C10" w:usb2="00000016" w:usb3="00000000" w:csb0="602E0107" w:csb1="00000000"/>
  </w:font>
  <w:font w:name="汉仪仿宋KW">
    <w:panose1 w:val="00020600040101010101"/>
    <w:charset w:val="86"/>
    <w:family w:val="auto"/>
    <w:pitch w:val="default"/>
    <w:sig w:usb0="A00002BF" w:usb1="18EF7CFA" w:usb2="00000016" w:usb3="00000000" w:csb0="00040000"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sl="http://schemas.openxmlformats.org/schemaLibrary/2006/main" xmlns:w="http://schemas.openxmlformats.org/wordprocessingml/2006/main" xmlns:w14="http://schemas.microsoft.com/office/word/2010/wordml"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pn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image" Target="media/image21.jpeg" /><Relationship Id="rId26" Type="http://schemas.openxmlformats.org/officeDocument/2006/relationships/footer" Target="footer2.xml" /><Relationship Id="rId27" Type="http://schemas.openxmlformats.org/officeDocument/2006/relationships/theme" Target="theme/theme1.xml" /><Relationship Id="rId28" Type="http://schemas.openxmlformats.org/officeDocument/2006/relationships/styles" Target="styles.xml" /><Relationship Id="rId29" Type="http://schemas.openxmlformats.org/officeDocument/2006/relationships/webSettings" Target="webSettings.xml" /><Relationship Id="rId3" Type="http://schemas.openxmlformats.org/officeDocument/2006/relationships/footer" Target="footer1.xml" /><Relationship Id="rId30" Type="http://schemas.openxmlformats.org/officeDocument/2006/relationships/numbering" Target="numbering.xml" /><Relationship Id="rId31" Type="http://schemas.openxmlformats.org/officeDocument/2006/relationships/fontTable" Target="fontTable.xml" /><Relationship Id="rId32"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34</Pages>
  <Words>3328</Words>
  <Characters>18970</Characters>
  <Application>WPS Office WWO_dingtalk_20240221035043-c523bba0e7</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1</cp:revision>
  <cp:lastPrinted>2020-04-01T02:20:00Z</cp:lastPrinted>
  <dcterms:created xsi:type="dcterms:W3CDTF">2023-05-07T01:44:00Z</dcterms:created>
  <dcterms:modified xsi:type="dcterms:W3CDTF">2024-05-09T11:04:40Z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wstr>2052-0.0.0.0</vt:lpwstr>
  </property>
  <property fmtid="{D5CDD505-2E9C-101B-9397-08002B2CF9AE}" pid="3" name="ICV">
    <vt:lpwstr>0681153265704AF2A3DC189A351F6915</vt:lpwstr>
  </property>
</Properties>
</file>