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苏吴地评税字(2024)吴江第01112号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苏杭之星花园高层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2024年11月20日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估价对象位于苏州市吴江区区域范围内的苏杭之星花园住宅小区高层存量房。该小区内的物业类型包括：</w:t>
      </w:r>
      <w:r>
        <w:rPr>
          <w:rFonts w:ascii="宋体"/>
          <w:sz w:val="24"/>
        </w:rPr>
        <w:t xml:space="preserve">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月修订版），结合估价人员现场查勘，选取苏杭之星花园</w:t>
      </w:r>
      <w:r>
        <w:rPr>
          <w:rFonts w:ascii="宋体"/>
          <w:sz w:val="24"/>
        </w:rPr>
        <w:t xml:space="preserve">7幢103室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30</w:t>
      </w:r>
      <w:r>
        <w:rPr>
          <w:rFonts w:hint="eastAsia" w:ascii="宋体"/>
          <w:sz w:val="24"/>
        </w:rPr>
        <w:t xml:space="preserve">层，建筑面积</w:t>
      </w:r>
      <w:r>
        <w:rPr>
          <w:rFonts w:ascii="宋体"/>
          <w:sz w:val="24"/>
        </w:rPr>
        <w:t xml:space="preserve">109.95</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2017</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2080年08月21日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2024年11月08日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壹万零捌佰捌拾元整</w:t>
      </w:r>
      <w:r>
        <w:rPr>
          <w:rFonts w:hint="eastAsia" w:ascii="宋体" w:hAnsi="宋体"/>
          <w:b/>
          <w:bCs/>
          <w:sz w:val="24"/>
        </w:rPr>
        <w:t xml:space="preserve">（RMB</w:t>
      </w:r>
      <w:r>
        <w:rPr>
          <w:rFonts w:ascii="宋体" w:hAnsi="宋体"/>
          <w:b/>
          <w:bCs/>
          <w:sz w:val="24"/>
        </w:rPr>
        <w:t xml:space="preserve"> 10880</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2024年11月20日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5.本报告作为整体使用时有效。若房地产市场无重大波动，本估价报告自出具日起一年内有效，从2024年11月20日至</w:t>
      </w:r>
      <w:r>
        <w:rPr>
          <w:rFonts w:ascii="宋体" w:hAnsi="宋体"/>
          <w:sz w:val="24"/>
        </w:rPr>
        <w:t xml:space="preserve">2025年11月19日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估价对象为苏杭之星花园</w:t>
      </w:r>
      <w:r>
        <w:rPr>
          <w:rFonts w:ascii="宋体" w:hAnsi="宋体"/>
          <w:sz w:val="24"/>
        </w:rPr>
        <w:t xml:space="preserve">7幢103室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西二环路西侧</w:t>
      </w:r>
      <w:r>
        <w:rPr>
          <w:rFonts w:hint="eastAsia" w:hAnsi="宋体"/>
          <w:sz w:val="24"/>
        </w:rPr>
        <w:t xml:space="preserve">的“苏杭之星花园”住宅区内。</w:t>
      </w:r>
      <w:r>
        <w:rPr>
          <w:rFonts w:hint="eastAsia" w:ascii="宋体" w:hAnsi="宋体"/>
          <w:sz w:val="24"/>
        </w:rPr>
        <w:t xml:space="preserve">估价对象东至</w:t>
      </w:r>
      <w:r>
        <w:rPr>
          <w:rFonts w:ascii="宋体" w:hAnsi="宋体"/>
          <w:sz w:val="24"/>
          <w:szCs w:val="24"/>
        </w:rPr>
        <w:t xml:space="preserve">西二环路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澜溪一路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秋泽路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澜溪一路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109.95</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西二环路西侧</w:t>
      </w:r>
      <w:r>
        <w:rPr>
          <w:rFonts w:hint="eastAsia" w:hAnsi="宋体"/>
          <w:sz w:val="24"/>
        </w:rPr>
        <w:t xml:space="preserve">的“苏杭之星花园”住宅区内。该小区内的物业类型包括：</w:t>
      </w:r>
      <w:r>
        <w:rPr>
          <w:rFonts w:hAnsi="宋体"/>
          <w:sz w:val="24"/>
        </w:rPr>
        <w:t xml:space="preserve">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苏杭之星花园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“苏杭之星花园”小区</w:t>
            </w:r>
            <w:r>
              <w:rPr>
                <w:rFonts w:ascii="Cambria" w:hAnsi="宋体" w:eastAsia="黑体" w:cs="Times New Roman" w:asciiTheme="majorHAnsi" w:cstheme="majorBidi"/>
                <w:sz w:val="15"/>
                <w:szCs w:val="15"/>
              </w:rPr>
              <w:t xml:space="preserve">7幢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由于苏杭之星花园市场交易不活跃，片区内可选案例较少，因此选择的案例A，B，C，D，距离在3公里以外。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苏杭之星花园住宅2024年11月挂牌均价15359元/平方米，较年初持平。待评估二手房住宅近11个月（2024年01月-2024年11月）挂牌均价波动幅度较小，价格维持在15359-16471元/平方米之间。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均价说明：苏杭之星花园小区物业类型包括：高层,房源均价为:15359元/平方米，包含毛坯价值以及附带装修价值。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该房屋为30层住宅楼的第1层，建于2017年，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109.95</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2080年08月21日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2024年11月08日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壹万零捌佰捌拾元整</w:t>
      </w:r>
      <w:r>
        <w:rPr>
          <w:rFonts w:hint="eastAsia" w:ascii="宋体" w:hAnsi="宋体"/>
          <w:b/>
          <w:bCs/>
          <w:sz w:val="24"/>
        </w:rPr>
        <w:t xml:space="preserve">（RMB </w:t>
      </w:r>
      <w:r>
        <w:rPr>
          <w:rFonts w:ascii="宋体" w:hAnsi="宋体"/>
          <w:b/>
          <w:bCs/>
          <w:sz w:val="24"/>
        </w:rPr>
        <w:t xml:space="preserve">10880</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119.62</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10880</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本次实地查勘期为2024年11月08日，并于当日完成现场查勘。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2024年11月08日</w:t>
      </w:r>
      <w:r>
        <w:rPr>
          <w:rFonts w:hint="eastAsia" w:ascii="宋体"/>
          <w:sz w:val="24"/>
        </w:rPr>
        <w:t xml:space="preserve">至2024年11月20日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估价对象为苏州市吴江区“苏杭之星花园”住宅区内的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位于秋泽路东侧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秋泽路东侧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附近有761路、763路等多条公交线路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欧尚超市(苏州盛泽店)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中国工商银行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目澜路综合农贸批发市场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阳光双语幼儿园</w:t>
      </w:r>
      <w:r>
        <w:rPr>
          <w:rFonts w:hint="eastAsia" w:ascii="宋体" w:hAnsi="宋体" w:eastAsia="宋体" w:asciiTheme="minorEastAsia" w:hAnsiTheme="minorEastAsia" w:eastAsiaTheme="minorEastAsia"/>
          <w:sz w:val="24"/>
        </w:rPr>
        <w:t xml:space="preserve">、</w:t>
      </w:r>
      <w:r>
        <w:rPr>
          <w:rFonts w:hAnsi="宋体"/>
          <w:sz w:val="24"/>
        </w:rPr>
        <w:t xml:space="preserve">盛泽实验小学</w:t>
      </w:r>
      <w:r>
        <w:rPr>
          <w:rFonts w:hint="eastAsia" w:hAnsi="宋体"/>
          <w:sz w:val="24"/>
        </w:rPr>
        <w:t xml:space="preserve">、</w:t>
      </w:r>
      <w:r>
        <w:rPr>
          <w:rFonts w:hAnsi="宋体"/>
          <w:sz w:val="24"/>
        </w:rPr>
        <w:t xml:space="preserve">盛泽第二中学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2080年08月21日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西二环路</w:t>
      </w:r>
      <w:r>
        <w:rPr>
          <w:rFonts w:hint="eastAsia" w:ascii="宋体" w:hAnsi="宋体"/>
          <w:sz w:val="24"/>
        </w:rPr>
        <w:t xml:space="preserve">，南至</w:t>
      </w:r>
      <w:r>
        <w:rPr>
          <w:rFonts w:ascii="宋体" w:hAnsi="宋体"/>
          <w:sz w:val="24"/>
        </w:rPr>
        <w:t xml:space="preserve">澜溪一路</w:t>
      </w:r>
      <w:r>
        <w:rPr>
          <w:rFonts w:hint="eastAsia" w:ascii="宋体" w:hAnsi="宋体"/>
          <w:sz w:val="24"/>
        </w:rPr>
        <w:t xml:space="preserve">，西至</w:t>
      </w:r>
      <w:r>
        <w:rPr>
          <w:rFonts w:ascii="宋体" w:hAnsi="宋体"/>
          <w:sz w:val="24"/>
        </w:rPr>
        <w:t xml:space="preserve">秋泽路</w:t>
      </w:r>
      <w:r>
        <w:rPr>
          <w:rFonts w:hint="eastAsia" w:ascii="宋体" w:hAnsi="宋体"/>
          <w:sz w:val="24"/>
        </w:rPr>
        <w:t xml:space="preserve">，北至</w:t>
      </w:r>
      <w:r>
        <w:rPr>
          <w:rFonts w:ascii="宋体" w:hAnsi="宋体"/>
          <w:sz w:val="24"/>
        </w:rPr>
        <w:t xml:space="preserve">澜溪一路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估价对象为坐落于苏州市吴江区苏杭之星花园</w:t>
      </w:r>
      <w:r>
        <w:t xml:space="preserve"> </w:t>
      </w:r>
      <w:r>
        <w:rPr>
          <w:rFonts w:ascii="宋体" w:hAnsi="宋体"/>
          <w:kern w:val="2"/>
          <w:sz w:val="24"/>
        </w:rPr>
        <w:t xml:space="preserve">7幢103室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109.95</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3层数、层高：估价对象位于总楼层为30层的第1层，层高约2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估价对象建成于2017年，基础较为稳固，未见沉降；墙面、地面、门窗等保养完好，综合保养成新度为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苏杭之星花园住宅2024年11月挂牌均价15359元/平方米，较年初持平。待评估二手房住宅近11个月（2024年01月-2024年11月）挂牌均价波动幅度较小，价格维持在15359-16471元/平方米之间。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苏州市吴江区苏杭之星花园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F32050920240005870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F32050920240002615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s202405150010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s202404220152</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吴江区盛泽镇苏杭之星花园7幢103室高层住宅标准房基准价格评估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皇家领誉23幢202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锦盛苑27幢505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盛誉华庭11幢601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众盛阳光嘉园76幢705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109.95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96.28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139.48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93.46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2024年11月08日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11529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11123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11615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11235</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指数，吴江区2023年11月至2024年10月住宅月度价格指数表为：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2024年10月08日</w:t>
            </w:r>
          </w:p>
        </w:tc>
        <w:tc>
          <w:tcPr>
            <w:tcW w:w="778" w:type="pct"/>
            <w:shd w:val="clear" w:color="auto" w:fill="FFFFFF"/>
            <w:vAlign w:val="center"/>
          </w:tcPr>
          <w:p>
            <w:pPr>
              <w:jc w:val="center"/>
            </w:pPr>
            <w:r>
              <w:rPr>
                <w:rFonts w:hint="eastAsia" w:ascii="宋体" w:hAnsi="宋体" w:cs="宋体"/>
              </w:rPr>
              <w:t xml:space="preserve">2024年01月</w:t>
            </w:r>
          </w:p>
        </w:tc>
        <w:tc>
          <w:tcPr>
            <w:tcW w:w="779" w:type="pct"/>
            <w:shd w:val="clear" w:color="auto" w:fill="FFFFFF"/>
            <w:vAlign w:val="center"/>
          </w:tcPr>
          <w:p>
            <w:pPr>
              <w:jc w:val="center"/>
            </w:pPr>
            <w:r>
              <w:rPr>
                <w:rFonts w:hint="eastAsia" w:ascii="宋体" w:hAnsi="宋体" w:cs="宋体"/>
              </w:rPr>
              <w:t xml:space="preserve">2024年01月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2024年04月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11529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11123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11615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11235</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1919</w:t>
            </w:r>
          </w:p>
        </w:tc>
        <w:tc>
          <w:tcPr>
            <w:tcW w:w="778" w:type="pct"/>
            <w:shd w:val="clear" w:color="auto" w:fill="FFFFFF"/>
            <w:vAlign w:val="center"/>
          </w:tcPr>
          <w:p>
            <w:pPr>
              <w:jc w:val="center"/>
            </w:pPr>
            <w:r>
              <w:rPr>
                <w:rFonts w:hint="eastAsia" w:ascii="宋体" w:hAnsi="宋体" w:cs="宋体"/>
              </w:rPr>
              <w:t xml:space="preserve">2017</w:t>
            </w:r>
          </w:p>
        </w:tc>
        <w:tc>
          <w:tcPr>
            <w:tcW w:w="779" w:type="pct"/>
            <w:shd w:val="clear" w:color="auto" w:fill="FFFFFF"/>
            <w:vAlign w:val="center"/>
          </w:tcPr>
          <w:p>
            <w:pPr>
              <w:jc w:val="center"/>
            </w:pPr>
            <w:r>
              <w:rPr>
                <w:rFonts w:hint="eastAsia" w:ascii="宋体" w:hAnsi="宋体" w:cs="宋体"/>
              </w:rPr>
              <w:t xml:space="preserve">2017</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1919/1919</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1919/2017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1919/2017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0.951</w:t>
            </w:r>
          </w:p>
        </w:tc>
        <w:tc>
          <w:tcPr>
            <w:tcW w:w="779" w:type="pct"/>
            <w:shd w:val="clear" w:color="auto" w:fill="FFFFFF"/>
            <w:vAlign w:val="center"/>
          </w:tcPr>
          <w:p>
            <w:pPr>
              <w:jc w:val="center"/>
            </w:pPr>
            <w:r>
              <w:rPr>
                <w:rFonts w:hint="eastAsia" w:ascii="宋体" w:hAnsi="宋体" w:cs="宋体"/>
              </w:rPr>
              <w:t xml:space="preserve">0.951</w:t>
            </w:r>
          </w:p>
        </w:tc>
        <w:tc>
          <w:tcPr>
            <w:tcW w:w="779" w:type="pct"/>
            <w:shd w:val="clear" w:color="auto" w:fill="FFFFFF"/>
            <w:vAlign w:val="center"/>
          </w:tcPr>
          <w:p>
            <w:pPr>
              <w:jc w:val="center"/>
            </w:pPr>
            <w:r>
              <w:rPr>
                <w:rFonts w:hint="eastAsia" w:ascii="宋体" w:hAnsi="宋体" w:cs="宋体"/>
              </w:rPr>
              <w:t xml:space="preserve">0.99</w:t>
            </w:r>
          </w:p>
        </w:tc>
        <w:tc>
          <w:tcPr>
            <w:tcW w:w="779" w:type="pct"/>
            <w:shd w:val="clear" w:color="auto" w:fill="FFFFFF"/>
            <w:vAlign w:val="center"/>
          </w:tcPr>
          <w:p>
            <w:pPr>
              <w:jc w:val="center"/>
            </w:pPr>
            <w:r>
              <w:rPr>
                <w:rFonts w:hint="eastAsia" w:ascii="宋体" w:hAnsi="宋体" w:cs="宋体"/>
              </w:rPr>
              <w:t xml:space="preserve">0.985</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备注：在价值时点2024年11月08日</w:t>
      </w:r>
      <w:r>
        <w:rPr>
          <w:rFonts w:hint="eastAsia" w:ascii="宋体" w:hAnsi="宋体" w:cs="宋体"/>
          <w:sz w:val="24"/>
          <w:szCs w:val="24"/>
        </w:rPr>
        <w:t xml:space="preserve">，2024年11月份价格指数尚未公布，本次估价采用2024年10月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510112995"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吴江区盛泽镇苏杭之星花园7幢103室高层住宅标准房基准价格评估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皇家领誉23幢202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锦盛苑27幢505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盛誉华庭11幢601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众盛阳光嘉园76幢705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109.95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96.28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87.21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139.48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93.46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112.91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110.11</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0.125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11529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11615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11235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10528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11017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11529</w:t>
            </w:r>
          </w:p>
        </w:tc>
        <w:tc>
          <w:tcPr>
            <w:tcW w:w="922" w:type="pct"/>
            <w:shd w:val="clear" w:color="auto" w:fill="auto"/>
            <w:vAlign w:val="center"/>
          </w:tcPr>
          <w:p>
            <w:pPr>
              <w:jc w:val="center"/>
              <w:rPr>
                <w:rFonts w:ascii="宋体" w:hAnsi="宋体" w:cs="宋体"/>
              </w:rPr>
            </w:pPr>
            <w:r>
              <w:rPr>
                <w:rFonts w:hint="eastAsia" w:ascii="宋体" w:hAnsi="宋体" w:cs="宋体"/>
              </w:rPr>
              <w:t xml:space="preserve">11123</w:t>
            </w:r>
          </w:p>
        </w:tc>
        <w:tc>
          <w:tcPr>
            <w:tcW w:w="922" w:type="pct"/>
            <w:shd w:val="clear" w:color="auto" w:fill="auto"/>
            <w:vAlign w:val="center"/>
          </w:tcPr>
          <w:p>
            <w:pPr>
              <w:jc w:val="center"/>
              <w:rPr>
                <w:rFonts w:ascii="宋体" w:hAnsi="宋体" w:cs="宋体"/>
              </w:rPr>
            </w:pPr>
            <w:r>
              <w:rPr>
                <w:rFonts w:hint="eastAsia" w:ascii="宋体" w:hAnsi="宋体" w:cs="宋体"/>
              </w:rPr>
              <w:t xml:space="preserve">11615</w:t>
            </w:r>
          </w:p>
        </w:tc>
        <w:tc>
          <w:tcPr>
            <w:tcW w:w="922" w:type="pct"/>
            <w:shd w:val="clear" w:color="auto" w:fill="auto"/>
            <w:vAlign w:val="center"/>
          </w:tcPr>
          <w:p>
            <w:pPr>
              <w:jc w:val="center"/>
              <w:rPr>
                <w:rFonts w:ascii="宋体" w:hAnsi="宋体" w:cs="宋体"/>
              </w:rPr>
            </w:pPr>
            <w:r>
              <w:rPr>
                <w:rFonts w:hint="eastAsia" w:ascii="宋体" w:hAnsi="宋体" w:cs="宋体"/>
              </w:rPr>
              <w:t xml:space="preserve">11235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0.985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109.08/108.53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109.08/112.91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0.9606</w:t>
            </w:r>
          </w:p>
        </w:tc>
        <w:tc>
          <w:tcPr>
            <w:tcW w:w="922" w:type="pct"/>
            <w:shd w:val="clear" w:color="auto" w:fill="auto"/>
            <w:vAlign w:val="center"/>
          </w:tcPr>
          <w:p>
            <w:pPr>
              <w:jc w:val="center"/>
              <w:rPr>
                <w:rFonts w:ascii="宋体" w:hAnsi="宋体" w:cs="宋体"/>
              </w:rPr>
            </w:pPr>
            <w:r>
              <w:rPr>
                <w:rFonts w:hint="eastAsia" w:ascii="宋体" w:hAnsi="宋体" w:cs="宋体"/>
              </w:rPr>
              <w:t xml:space="preserve">0.9465</w:t>
            </w:r>
          </w:p>
        </w:tc>
        <w:tc>
          <w:tcPr>
            <w:tcW w:w="922" w:type="pct"/>
            <w:shd w:val="clear" w:color="auto" w:fill="auto"/>
            <w:vAlign w:val="center"/>
          </w:tcPr>
          <w:p>
            <w:pPr>
              <w:jc w:val="center"/>
              <w:rPr>
                <w:rFonts w:ascii="宋体" w:hAnsi="宋体" w:cs="宋体"/>
              </w:rPr>
            </w:pPr>
            <w:r>
              <w:rPr>
                <w:rFonts w:hint="eastAsia" w:ascii="宋体" w:hAnsi="宋体" w:cs="宋体"/>
              </w:rPr>
              <w:t xml:space="preserve">0.947</w:t>
            </w:r>
          </w:p>
        </w:tc>
        <w:tc>
          <w:tcPr>
            <w:tcW w:w="922" w:type="pct"/>
            <w:shd w:val="clear" w:color="auto" w:fill="auto"/>
            <w:vAlign w:val="center"/>
          </w:tcPr>
          <w:p>
            <w:pPr>
              <w:jc w:val="center"/>
              <w:rPr>
                <w:rFonts w:ascii="宋体" w:hAnsi="宋体" w:cs="宋体"/>
              </w:rPr>
            </w:pPr>
            <w:r>
              <w:rPr>
                <w:rFonts w:hint="eastAsia" w:ascii="宋体" w:hAnsi="宋体" w:cs="宋体"/>
              </w:rPr>
              <w:t xml:space="preserve">0.9806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11075</w:t>
            </w:r>
          </w:p>
        </w:tc>
        <w:tc>
          <w:tcPr>
            <w:tcW w:w="922" w:type="pct"/>
            <w:shd w:val="clear" w:color="auto" w:fill="auto"/>
            <w:vAlign w:val="center"/>
          </w:tcPr>
          <w:p>
            <w:pPr>
              <w:jc w:val="center"/>
              <w:rPr>
                <w:rFonts w:ascii="宋体" w:hAnsi="宋体" w:cs="宋体"/>
              </w:rPr>
            </w:pPr>
            <w:r>
              <w:rPr>
                <w:rFonts w:hint="eastAsia" w:ascii="宋体" w:hAnsi="宋体" w:cs="宋体"/>
              </w:rPr>
              <w:t xml:space="preserve">10528</w:t>
            </w:r>
          </w:p>
        </w:tc>
        <w:tc>
          <w:tcPr>
            <w:tcW w:w="922" w:type="pct"/>
            <w:shd w:val="clear" w:color="auto" w:fill="auto"/>
            <w:vAlign w:val="center"/>
          </w:tcPr>
          <w:p>
            <w:pPr>
              <w:jc w:val="center"/>
              <w:rPr>
                <w:rFonts w:ascii="宋体" w:hAnsi="宋体" w:cs="宋体"/>
              </w:rPr>
            </w:pPr>
            <w:r>
              <w:rPr>
                <w:rFonts w:hint="eastAsia" w:ascii="宋体" w:hAnsi="宋体" w:cs="宋体"/>
              </w:rPr>
              <w:t xml:space="preserve">10999</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11075</w:t>
            </w:r>
          </w:p>
        </w:tc>
        <w:tc>
          <w:tcPr>
            <w:tcW w:w="922" w:type="pct"/>
            <w:shd w:val="clear" w:color="auto" w:fill="auto"/>
            <w:vAlign w:val="center"/>
          </w:tcPr>
          <w:p>
            <w:pPr>
              <w:jc w:val="center"/>
              <w:rPr>
                <w:rFonts w:ascii="宋体" w:hAnsi="宋体" w:cs="宋体"/>
              </w:rPr>
            </w:pPr>
            <w:r>
              <w:rPr>
                <w:rFonts w:hint="eastAsia" w:ascii="宋体" w:hAnsi="宋体" w:cs="宋体"/>
              </w:rPr>
              <w:t xml:space="preserve">10528</w:t>
            </w:r>
          </w:p>
        </w:tc>
        <w:tc>
          <w:tcPr>
            <w:tcW w:w="922" w:type="pct"/>
            <w:shd w:val="clear" w:color="auto" w:fill="auto"/>
            <w:vAlign w:val="center"/>
          </w:tcPr>
          <w:p>
            <w:pPr>
              <w:jc w:val="center"/>
              <w:rPr>
                <w:rFonts w:ascii="宋体" w:hAnsi="宋体" w:cs="宋体"/>
              </w:rPr>
            </w:pPr>
            <w:r>
              <w:rPr>
                <w:rFonts w:hint="eastAsia" w:ascii="宋体" w:hAnsi="宋体" w:cs="宋体"/>
              </w:rPr>
              <w:t xml:space="preserve">10899</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10880</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F32050920240005870</w:t>
            </w:r>
          </w:p>
        </w:tc>
        <w:tc>
          <w:tcPr>
            <w:tcW w:w="1842" w:type="dxa"/>
            <w:vAlign w:val="center"/>
          </w:tcPr>
          <w:p>
            <w:pPr>
              <w:jc w:val="center"/>
            </w:pPr>
            <w:r>
              <w:rPr>
                <w:rFonts w:hint="eastAsia" w:ascii="宋体" w:hAnsi="宋体" w:cs="宋体"/>
              </w:rPr>
              <w:t xml:space="preserve">F32050920240002615</w:t>
            </w:r>
          </w:p>
        </w:tc>
        <w:tc>
          <w:tcPr>
            <w:tcW w:w="1843" w:type="dxa"/>
            <w:vAlign w:val="center"/>
          </w:tcPr>
          <w:p>
            <w:pPr>
              <w:jc w:val="center"/>
            </w:pPr>
            <w:r>
              <w:rPr>
                <w:rFonts w:hint="eastAsia" w:ascii="宋体" w:hAnsi="宋体" w:cs="宋体"/>
              </w:rPr>
              <w:t xml:space="preserve">s202405150010</w:t>
            </w:r>
          </w:p>
        </w:tc>
        <w:tc>
          <w:tcPr>
            <w:tcW w:w="1985" w:type="dxa"/>
            <w:vAlign w:val="center"/>
          </w:tcPr>
          <w:p>
            <w:pPr>
              <w:jc w:val="center"/>
            </w:pPr>
            <w:r>
              <w:rPr>
                <w:rFonts w:hint="eastAsia" w:ascii="宋体" w:hAnsi="宋体" w:cs="宋体"/>
              </w:rPr>
              <w:t xml:space="preserve">s202404220152</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皇家领誉23幢202</w:t>
            </w:r>
          </w:p>
        </w:tc>
        <w:tc>
          <w:tcPr>
            <w:tcW w:w="1842" w:type="dxa"/>
            <w:vAlign w:val="center"/>
          </w:tcPr>
          <w:p>
            <w:pPr>
              <w:jc w:val="center"/>
            </w:pPr>
            <w:r>
              <w:rPr>
                <w:rFonts w:hint="eastAsia" w:ascii="宋体" w:hAnsi="宋体" w:cs="宋体"/>
              </w:rPr>
              <w:t xml:space="preserve">锦盛苑27幢505</w:t>
            </w:r>
          </w:p>
        </w:tc>
        <w:tc>
          <w:tcPr>
            <w:tcW w:w="1843" w:type="dxa"/>
            <w:vAlign w:val="center"/>
          </w:tcPr>
          <w:p>
            <w:pPr>
              <w:jc w:val="center"/>
            </w:pPr>
            <w:r>
              <w:rPr>
                <w:rFonts w:hint="eastAsia" w:ascii="宋体" w:hAnsi="宋体" w:cs="宋体"/>
              </w:rPr>
              <w:t xml:space="preserve">盛誉华庭11幢601</w:t>
            </w:r>
          </w:p>
        </w:tc>
        <w:tc>
          <w:tcPr>
            <w:tcW w:w="1985" w:type="dxa"/>
            <w:vAlign w:val="center"/>
          </w:tcPr>
          <w:p>
            <w:pPr>
              <w:jc w:val="center"/>
            </w:pPr>
            <w:r>
              <w:rPr>
                <w:rFonts w:hint="eastAsia" w:ascii="宋体" w:hAnsi="宋体" w:cs="宋体"/>
              </w:rPr>
              <w:t xml:space="preserve">众盛阳光嘉园76幢705</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皇家领誉23幢202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锦盛苑27幢505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盛誉华庭11幢601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众盛阳光嘉园76幢705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pn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