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苏吴地评税字(2024)吴江第01154号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缤纷桃李花园电梯多层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2024年11月29日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估价对象位于苏州市吴江区区域范围内的缤纷桃李花园住宅小区电梯多层存量房。该小区内的物业类型包括：</w:t>
      </w:r>
      <w:r>
        <w:rPr>
          <w:rFonts w:ascii="宋体"/>
          <w:sz w:val="24"/>
        </w:rPr>
        <w:t xml:space="preserve">电梯多层、小高层、高层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月修订版），结合估价人员现场查勘，选取缤纷桃李花园</w:t>
      </w:r>
      <w:r>
        <w:rPr>
          <w:rFonts w:ascii="宋体"/>
          <w:sz w:val="24"/>
        </w:rPr>
        <w:t xml:space="preserve">1幢102</w:t>
      </w:r>
      <w:r>
        <w:rPr>
          <w:rFonts w:hint="eastAsia" w:ascii="宋体"/>
          <w:sz w:val="24"/>
        </w:rPr>
        <w:t xml:space="preserve">为该小区</w:t>
      </w:r>
      <w:r>
        <w:rPr>
          <w:rFonts w:ascii="宋体"/>
          <w:sz w:val="24"/>
        </w:rPr>
        <w:t xml:space="preserve">钢混结构</w:t>
      </w:r>
      <w:r>
        <w:rPr>
          <w:rFonts w:hint="eastAsia" w:ascii="宋体"/>
          <w:sz w:val="24"/>
        </w:rPr>
        <w:t xml:space="preserve">电梯多层的标准样本房，所在楼层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141.18</w:t>
      </w:r>
      <w:r>
        <w:rPr>
          <w:rFonts w:hint="eastAsia" w:ascii="宋体"/>
          <w:sz w:val="24"/>
        </w:rPr>
        <w:t xml:space="preserve">平方米，南北朝向，</w:t>
      </w:r>
      <w:r>
        <w:rPr>
          <w:rFonts w:ascii="宋体"/>
          <w:sz w:val="24"/>
        </w:rPr>
        <w:t xml:space="preserve">中间户，钢混结构</w:t>
      </w:r>
      <w:r>
        <w:rPr>
          <w:rFonts w:hint="eastAsia" w:ascii="宋体"/>
          <w:sz w:val="24"/>
        </w:rPr>
        <w:t xml:space="preserve">，设计用途为成套住宅，建成于</w:t>
      </w:r>
      <w:r>
        <w:rPr>
          <w:rFonts w:ascii="宋体"/>
          <w:sz w:val="24"/>
        </w:rPr>
        <w:t xml:space="preserve">2021</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2083年12月26日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2024年11月22日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2024年11月22日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壹万叁仟捌佰壹拾肆元整</w:t>
      </w:r>
      <w:r>
        <w:rPr>
          <w:rFonts w:hint="eastAsia" w:ascii="宋体" w:hAnsi="宋体"/>
          <w:b/>
          <w:bCs/>
          <w:sz w:val="24"/>
        </w:rPr>
        <w:t xml:space="preserve">（RMB</w:t>
      </w:r>
      <w:r>
        <w:rPr>
          <w:rFonts w:ascii="宋体" w:hAnsi="宋体"/>
          <w:b/>
          <w:bCs/>
          <w:sz w:val="24"/>
        </w:rPr>
        <w:t xml:space="preserve"> 13814</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2024年11月29日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2024年11月29日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5.本报告作为整体使用时有效。若房地产市场无重大波动，本估价报告自出具日起一年内有效，从2024年11月29日至</w:t>
      </w:r>
      <w:r>
        <w:rPr>
          <w:rFonts w:ascii="宋体" w:hAnsi="宋体"/>
          <w:sz w:val="24"/>
        </w:rPr>
        <w:t xml:space="preserve">2025年11月28日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估价对象为缤纷桃李花园</w:t>
      </w:r>
      <w:r>
        <w:rPr>
          <w:rFonts w:ascii="宋体" w:hAnsi="宋体"/>
          <w:sz w:val="24"/>
        </w:rPr>
        <w:t xml:space="preserve">1幢102</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勤建路西侧</w:t>
      </w:r>
      <w:r>
        <w:rPr>
          <w:rFonts w:hint="eastAsia" w:hAnsi="宋体"/>
          <w:sz w:val="24"/>
        </w:rPr>
        <w:t xml:space="preserve">的“缤纷桃李花园”住宅区内。</w:t>
      </w:r>
      <w:r>
        <w:rPr>
          <w:rFonts w:hint="eastAsia" w:ascii="宋体" w:hAnsi="宋体"/>
          <w:sz w:val="24"/>
        </w:rPr>
        <w:t xml:space="preserve">估价对象东至</w:t>
      </w:r>
      <w:r>
        <w:rPr>
          <w:rFonts w:ascii="宋体" w:hAnsi="宋体"/>
          <w:sz w:val="24"/>
          <w:szCs w:val="24"/>
        </w:rPr>
        <w:t xml:space="preserve">勤建路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江村路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渔港路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联杨缤纷荟</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141.18</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勤建路西侧</w:t>
      </w:r>
      <w:r>
        <w:rPr>
          <w:rFonts w:hint="eastAsia" w:hAnsi="宋体"/>
          <w:sz w:val="24"/>
        </w:rPr>
        <w:t xml:space="preserve">的“缤纷桃李花园”住宅区内。该小区内的物业类型包括：</w:t>
      </w:r>
      <w:r>
        <w:rPr>
          <w:rFonts w:hAnsi="宋体"/>
          <w:sz w:val="24"/>
        </w:rPr>
        <w:t xml:space="preserve">电梯多层、小高层、高层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缤纷桃李花园</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“缤纷桃李花园”小区</w:t>
            </w:r>
            <w:r>
              <w:rPr>
                <w:rFonts w:ascii="Cambria" w:hAnsi="宋体" w:eastAsia="黑体" w:cs="Times New Roman" w:asciiTheme="majorHAnsi" w:cstheme="majorBidi"/>
                <w:sz w:val="15"/>
                <w:szCs w:val="15"/>
              </w:rPr>
              <w:t xml:space="preserve">1幢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由于缤纷桃李花园市场交易不活跃，片区内可选案例较少，因此选择的案例A，B，C，D，距离在3公里以外。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缤纷桃李花园住宅2024年11月挂牌均价18807元/平方米，较年初持平。待评估二手房住宅近12个月（2023年12月-2024年11月）挂牌均价波动幅度较小，价格维持在18807-21000元/平方米之间。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均价说明：缤纷桃李花园小区物业类型包括：电梯多层、小高层、高层,房源均价为:18807元/平方米，包含毛坯价值以及附带装修价值。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该房屋为5层住宅楼的第1层，建于2021年，</w:t>
      </w:r>
      <w:r>
        <w:rPr>
          <w:rFonts w:ascii="宋体" w:hAnsi="宋体"/>
          <w:sz w:val="24"/>
        </w:rPr>
        <w:t xml:space="preserve">钢混结构</w:t>
      </w:r>
      <w:r>
        <w:rPr>
          <w:rFonts w:hint="eastAsia" w:ascii="宋体" w:hAnsi="宋体"/>
          <w:sz w:val="24"/>
        </w:rPr>
        <w:t xml:space="preserve">，南北朝向，建筑面积为</w:t>
      </w:r>
      <w:r>
        <w:rPr>
          <w:rFonts w:ascii="宋体" w:hAnsi="宋体"/>
          <w:sz w:val="24"/>
        </w:rPr>
        <w:t xml:space="preserve">141.18</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2083年12月26日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2024年11月22日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壹万叁仟捌佰壹拾肆元整</w:t>
      </w:r>
      <w:r>
        <w:rPr>
          <w:rFonts w:hint="eastAsia" w:ascii="宋体" w:hAnsi="宋体"/>
          <w:b/>
          <w:bCs/>
          <w:sz w:val="24"/>
        </w:rPr>
        <w:t xml:space="preserve">（RMB </w:t>
      </w:r>
      <w:r>
        <w:rPr>
          <w:rFonts w:ascii="宋体" w:hAnsi="宋体"/>
          <w:b/>
          <w:bCs/>
          <w:sz w:val="24"/>
        </w:rPr>
        <w:t xml:space="preserve">13814</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195.03</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13814</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2024年11月29日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2024年11月29日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本次实地查勘期为2024年11月22日，并于当日完成现场查勘。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2024年11月22日</w:t>
      </w:r>
      <w:r>
        <w:rPr>
          <w:rFonts w:hint="eastAsia" w:ascii="宋体"/>
          <w:sz w:val="24"/>
        </w:rPr>
        <w:t xml:space="preserve">至2024年11月29日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估价对象为苏州市吴江区“缤纷桃李花园”住宅区内的</w:t>
      </w:r>
      <w:r>
        <w:rPr>
          <w:rFonts w:hAnsi="宋体"/>
          <w:sz w:val="24"/>
        </w:rPr>
        <w:t xml:space="preserve">电梯多层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位于渔港路东侧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渔港路东侧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附近有720路、710路、207路等多条公交线路</w:t>
      </w:r>
      <w:r>
        <w:rPr>
          <w:rFonts w:hint="eastAsia" w:hAnsi="宋体"/>
          <w:sz w:val="24"/>
        </w:rPr>
        <w:t xml:space="preserve">，</w:t>
      </w:r>
      <w:r>
        <w:rPr>
          <w:rFonts w:hAnsi="宋体"/>
          <w:sz w:val="24"/>
        </w:rPr>
        <w:t xml:space="preserve">至公交站点的距离约为400米，公交班次平均隔10分钟有一辆汽车通过。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快乐购物超市</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思贤幼儿园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吴江中学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2083年12月26日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勤建路</w:t>
      </w:r>
      <w:r>
        <w:rPr>
          <w:rFonts w:hint="eastAsia" w:ascii="宋体" w:hAnsi="宋体"/>
          <w:sz w:val="24"/>
        </w:rPr>
        <w:t xml:space="preserve">，南至</w:t>
      </w:r>
      <w:r>
        <w:rPr>
          <w:rFonts w:ascii="宋体" w:hAnsi="宋体"/>
          <w:sz w:val="24"/>
        </w:rPr>
        <w:t xml:space="preserve">江村路</w:t>
      </w:r>
      <w:r>
        <w:rPr>
          <w:rFonts w:hint="eastAsia" w:ascii="宋体" w:hAnsi="宋体"/>
          <w:sz w:val="24"/>
        </w:rPr>
        <w:t xml:space="preserve">，西至</w:t>
      </w:r>
      <w:r>
        <w:rPr>
          <w:rFonts w:ascii="宋体" w:hAnsi="宋体"/>
          <w:sz w:val="24"/>
        </w:rPr>
        <w:t xml:space="preserve">渔港路</w:t>
      </w:r>
      <w:r>
        <w:rPr>
          <w:rFonts w:hint="eastAsia" w:ascii="宋体" w:hAnsi="宋体"/>
          <w:sz w:val="24"/>
        </w:rPr>
        <w:t xml:space="preserve">，北至</w:t>
      </w:r>
      <w:r>
        <w:rPr>
          <w:rFonts w:ascii="宋体" w:hAnsi="宋体"/>
          <w:sz w:val="24"/>
        </w:rPr>
        <w:t xml:space="preserve">联杨缤纷荟</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估价对象为坐落于苏州市吴江区缤纷桃李花园</w:t>
      </w:r>
      <w:r>
        <w:t xml:space="preserve"> </w:t>
      </w:r>
      <w:r>
        <w:rPr>
          <w:rFonts w:ascii="宋体" w:hAnsi="宋体"/>
          <w:kern w:val="2"/>
          <w:sz w:val="24"/>
        </w:rPr>
        <w:t xml:space="preserve">1幢102</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估价对象为电梯多层建筑，建筑面积为</w:t>
      </w:r>
      <w:r>
        <w:rPr>
          <w:rFonts w:hAnsi="宋体"/>
          <w:sz w:val="24"/>
        </w:rPr>
        <w:t xml:space="preserve">141.18</w:t>
      </w:r>
      <w:r>
        <w:rPr>
          <w:rFonts w:hint="eastAsia" w:hAnsi="宋体"/>
          <w:sz w:val="24"/>
        </w:rPr>
        <w:t xml:space="preserve">㎡，</w:t>
      </w:r>
      <w:r>
        <w:rPr>
          <w:rFonts w:hAnsi="宋体"/>
          <w:sz w:val="24"/>
        </w:rPr>
        <w:t xml:space="preserve">钢混结构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楼梯及电梯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估价对象建成于2021年，基础较为稳固，未见沉降；墙面、地面、门窗等保养完好，综合保养成新度为</w:t>
      </w:r>
      <w:r>
        <w:rPr>
          <w:rFonts w:hAnsi="宋体"/>
          <w:sz w:val="24"/>
        </w:rPr>
        <w:t xml:space="preserve">九成新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bookmarkStart w:name="_GoBack" w:id="15"/>
      <w:bookmarkEnd w:id="15"/>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缤纷桃李花园住宅2024年11月挂牌均价18807元/平方米，较年初持平。待评估二手房住宅近12个月（2023年12月-2024年11月）挂牌均价波动幅度较小，价格维持在18807-21000元/平方米之间。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苏州市吴江区缤纷桃李花园</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F32050920240013301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F32050920240025798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F32050920240021678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F32050920230047804</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吴江区松陵镇缤纷桃李花园1幢102电梯多层住宅标准房基准价格评估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璀璨四季花园22幢203</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璀璨四季花园39幢501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璀璨四季花园19幢304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新东华庭1幢303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93.1</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3/7</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四等（9）</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四等（7）</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2024年11月22日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2024年03月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2024年06月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2024年05月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13937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15386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14800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13665</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指数，吴江区2023年11月至2024年10月住宅月度价格指数表为：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2024年02月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2024年05月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1917</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1913</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1931</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1919</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2024年10月22日</w:t>
            </w:r>
          </w:p>
        </w:tc>
        <w:tc>
          <w:tcPr>
            <w:tcW w:w="778" w:type="pct"/>
            <w:shd w:val="clear" w:color="auto" w:fill="FFFFFF"/>
            <w:vAlign w:val="center"/>
          </w:tcPr>
          <w:p>
            <w:pPr>
              <w:jc w:val="center"/>
            </w:pPr>
            <w:r>
              <w:rPr>
                <w:rFonts w:hint="eastAsia" w:ascii="宋体" w:hAnsi="宋体" w:cs="宋体"/>
              </w:rPr>
              <w:t xml:space="preserve">2024年03月</w:t>
            </w:r>
          </w:p>
        </w:tc>
        <w:tc>
          <w:tcPr>
            <w:tcW w:w="779" w:type="pct"/>
            <w:shd w:val="clear" w:color="auto" w:fill="FFFFFF"/>
            <w:vAlign w:val="center"/>
          </w:tcPr>
          <w:p>
            <w:pPr>
              <w:jc w:val="center"/>
            </w:pPr>
            <w:r>
              <w:rPr>
                <w:rFonts w:hint="eastAsia" w:ascii="宋体" w:hAnsi="宋体" w:cs="宋体"/>
              </w:rPr>
              <w:t xml:space="preserve">2024年06月</w:t>
            </w:r>
          </w:p>
        </w:tc>
        <w:tc>
          <w:tcPr>
            <w:tcW w:w="779" w:type="pct"/>
            <w:shd w:val="clear" w:color="auto" w:fill="FFFFFF"/>
            <w:vAlign w:val="center"/>
          </w:tcPr>
          <w:p>
            <w:pPr>
              <w:jc w:val="center"/>
            </w:pPr>
            <w:r>
              <w:rPr>
                <w:rFonts w:hint="eastAsia" w:ascii="宋体" w:hAnsi="宋体" w:cs="宋体"/>
              </w:rPr>
              <w:t xml:space="preserve">2024年05月</w:t>
            </w:r>
          </w:p>
        </w:tc>
        <w:tc>
          <w:tcPr>
            <w:tcW w:w="779" w:type="pct"/>
            <w:shd w:val="clear" w:color="auto" w:fill="FFFFFF"/>
            <w:vAlign w:val="center"/>
          </w:tcPr>
          <w:p>
            <w:pPr>
              <w:jc w:val="center"/>
            </w:pPr>
            <w:r>
              <w:rPr>
                <w:rFonts w:hint="eastAsia" w:ascii="宋体" w:hAnsi="宋体" w:cs="宋体"/>
              </w:rPr>
              <w:t xml:space="preserve">2023年12月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13937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15386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14800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13665</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1919</w:t>
            </w:r>
          </w:p>
        </w:tc>
        <w:tc>
          <w:tcPr>
            <w:tcW w:w="778" w:type="pct"/>
            <w:shd w:val="clear" w:color="auto" w:fill="FFFFFF"/>
            <w:vAlign w:val="center"/>
          </w:tcPr>
          <w:p>
            <w:pPr>
              <w:jc w:val="center"/>
            </w:pPr>
            <w:r>
              <w:rPr>
                <w:rFonts w:hint="eastAsia" w:ascii="宋体" w:hAnsi="宋体" w:cs="宋体"/>
              </w:rPr>
              <w:t xml:space="preserve">1971</w:t>
            </w:r>
          </w:p>
        </w:tc>
        <w:tc>
          <w:tcPr>
            <w:tcW w:w="779" w:type="pct"/>
            <w:shd w:val="clear" w:color="auto" w:fill="FFFFFF"/>
            <w:vAlign w:val="center"/>
          </w:tcPr>
          <w:p>
            <w:pPr>
              <w:jc w:val="center"/>
            </w:pPr>
            <w:r>
              <w:rPr>
                <w:rFonts w:hint="eastAsia" w:ascii="宋体" w:hAnsi="宋体" w:cs="宋体"/>
              </w:rPr>
              <w:t xml:space="preserve">1931</w:t>
            </w:r>
          </w:p>
        </w:tc>
        <w:tc>
          <w:tcPr>
            <w:tcW w:w="779" w:type="pct"/>
            <w:shd w:val="clear" w:color="auto" w:fill="FFFFFF"/>
            <w:vAlign w:val="center"/>
          </w:tcPr>
          <w:p>
            <w:pPr>
              <w:jc w:val="center"/>
            </w:pPr>
            <w:r>
              <w:rPr>
                <w:rFonts w:hint="eastAsia" w:ascii="宋体" w:hAnsi="宋体" w:cs="宋体"/>
              </w:rPr>
              <w:t xml:space="preserve">1939</w:t>
            </w:r>
          </w:p>
        </w:tc>
        <w:tc>
          <w:tcPr>
            <w:tcW w:w="779" w:type="pct"/>
            <w:shd w:val="clear" w:color="auto" w:fill="FFFFFF"/>
            <w:vAlign w:val="center"/>
          </w:tcPr>
          <w:p>
            <w:pPr>
              <w:jc w:val="center"/>
            </w:pPr>
            <w:r>
              <w:rPr>
                <w:rFonts w:hint="eastAsia" w:ascii="宋体" w:hAnsi="宋体" w:cs="宋体"/>
              </w:rPr>
              <w:t xml:space="preserve">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1919/1919</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1919/1971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1919/1931</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1919/1939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1919/2048</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0.974</w:t>
            </w:r>
          </w:p>
        </w:tc>
        <w:tc>
          <w:tcPr>
            <w:tcW w:w="779" w:type="pct"/>
            <w:shd w:val="clear" w:color="auto" w:fill="FFFFFF"/>
            <w:vAlign w:val="center"/>
          </w:tcPr>
          <w:p>
            <w:pPr>
              <w:jc w:val="center"/>
            </w:pPr>
            <w:r>
              <w:rPr>
                <w:rFonts w:hint="eastAsia" w:ascii="宋体" w:hAnsi="宋体" w:cs="宋体"/>
              </w:rPr>
              <w:t xml:space="preserve">0.994</w:t>
            </w:r>
          </w:p>
        </w:tc>
        <w:tc>
          <w:tcPr>
            <w:tcW w:w="779" w:type="pct"/>
            <w:shd w:val="clear" w:color="auto" w:fill="FFFFFF"/>
            <w:vAlign w:val="center"/>
          </w:tcPr>
          <w:p>
            <w:pPr>
              <w:jc w:val="center"/>
            </w:pPr>
            <w:r>
              <w:rPr>
                <w:rFonts w:hint="eastAsia" w:ascii="宋体" w:hAnsi="宋体" w:cs="宋体"/>
              </w:rPr>
              <w:t xml:space="preserve">0.99</w:t>
            </w:r>
          </w:p>
        </w:tc>
        <w:tc>
          <w:tcPr>
            <w:tcW w:w="779" w:type="pct"/>
            <w:shd w:val="clear" w:color="auto" w:fill="FFFFFF"/>
            <w:vAlign w:val="center"/>
          </w:tcPr>
          <w:p>
            <w:pPr>
              <w:jc w:val="center"/>
            </w:pPr>
            <w:r>
              <w:rPr>
                <w:rFonts w:hint="eastAsia" w:ascii="宋体" w:hAnsi="宋体" w:cs="宋体"/>
              </w:rPr>
              <w:t xml:space="preserve">0.937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备注：在价值时点2024年11月22日</w:t>
      </w:r>
      <w:r>
        <w:rPr>
          <w:rFonts w:hint="eastAsia" w:ascii="宋体" w:hAnsi="宋体" w:cs="宋体"/>
          <w:sz w:val="24"/>
          <w:szCs w:val="24"/>
        </w:rPr>
        <w:t xml:space="preserve">，2024年11月份价格指数尚未公布，本次估价采用2024年10月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6"/>
      <w:bookmarkStart w:name="_Toc352325665" w:id="17"/>
      <w:r>
        <w:rPr>
          <w:rFonts w:hint="eastAsia" w:ascii="宋体" w:hAnsi="宋体" w:cs="宋体"/>
          <w:b/>
          <w:sz w:val="21"/>
          <w:szCs w:val="21"/>
        </w:rPr>
        <w:t xml:space="preserve">（1）住宅房屋层次因素系数表</w:t>
      </w:r>
      <w:bookmarkEnd w:id="16"/>
      <w:bookmarkEnd w:id="17"/>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8"/>
      <w:bookmarkStart w:name="_Toc352325666" w:id="19"/>
      <w:r>
        <w:rPr>
          <w:rFonts w:hint="eastAsia" w:ascii="宋体" w:hAnsi="宋体" w:cs="宋体"/>
          <w:b/>
          <w:sz w:val="21"/>
          <w:szCs w:val="21"/>
        </w:rPr>
        <w:t xml:space="preserve">（2）住宅结构因素修正系数表</w:t>
      </w:r>
      <w:bookmarkEnd w:id="18"/>
      <w:bookmarkEnd w:id="19"/>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20"/>
            <w:bookmarkStart w:name="_Toc351596837" w:id="21"/>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20"/>
      <w:bookmarkEnd w:id="21"/>
    </w:p>
    <w:p>
      <w:pPr>
        <w:rPr>
          <w:vanish/>
          <w:sz w:val="21"/>
          <w:szCs w:val="21"/>
        </w:rPr>
      </w:pPr>
      <w:bookmarkStart w:name="_Toc352325668" w:id="22"/>
      <w:bookmarkStart w:name="_Toc351596838" w:id="23"/>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2"/>
      <w:bookmarkEnd w:id="23"/>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4"/>
            <w:bookmarkStart w:name="_Toc352325669" w:id="25"/>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333346717"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4"/>
      <w:bookmarkEnd w:id="25"/>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吴江区松陵镇缤纷桃李花园1幢102电梯多层住宅标准房基准价格评估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璀璨四季花园22幢203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璀璨四季花园39幢501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璀璨四季花园19幢304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新东华庭1幢303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141.18</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136.33</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136.49</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93.1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112.36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111.26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18</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19</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1.0469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0.9712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13937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15386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13665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13175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14647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13271</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13937</w:t>
            </w:r>
          </w:p>
        </w:tc>
        <w:tc>
          <w:tcPr>
            <w:tcW w:w="922" w:type="pct"/>
            <w:shd w:val="clear" w:color="auto" w:fill="auto"/>
            <w:vAlign w:val="center"/>
          </w:tcPr>
          <w:p>
            <w:pPr>
              <w:jc w:val="center"/>
              <w:rPr>
                <w:rFonts w:ascii="宋体" w:hAnsi="宋体" w:cs="宋体"/>
              </w:rPr>
            </w:pPr>
            <w:r>
              <w:rPr>
                <w:rFonts w:hint="eastAsia" w:ascii="宋体" w:hAnsi="宋体" w:cs="宋体"/>
              </w:rPr>
              <w:t xml:space="preserve">15386</w:t>
            </w:r>
          </w:p>
        </w:tc>
        <w:tc>
          <w:tcPr>
            <w:tcW w:w="922" w:type="pct"/>
            <w:shd w:val="clear" w:color="auto" w:fill="auto"/>
            <w:vAlign w:val="center"/>
          </w:tcPr>
          <w:p>
            <w:pPr>
              <w:jc w:val="center"/>
              <w:rPr>
                <w:rFonts w:ascii="宋体" w:hAnsi="宋体" w:cs="宋体"/>
              </w:rPr>
            </w:pPr>
            <w:r>
              <w:rPr>
                <w:rFonts w:hint="eastAsia" w:ascii="宋体" w:hAnsi="宋体" w:cs="宋体"/>
              </w:rPr>
              <w:t xml:space="preserve">14800</w:t>
            </w:r>
          </w:p>
        </w:tc>
        <w:tc>
          <w:tcPr>
            <w:tcW w:w="922" w:type="pct"/>
            <w:shd w:val="clear" w:color="auto" w:fill="auto"/>
            <w:vAlign w:val="center"/>
          </w:tcPr>
          <w:p>
            <w:pPr>
              <w:jc w:val="center"/>
              <w:rPr>
                <w:rFonts w:ascii="宋体" w:hAnsi="宋体" w:cs="宋体"/>
              </w:rPr>
            </w:pPr>
            <w:r>
              <w:rPr>
                <w:rFonts w:hint="eastAsia" w:ascii="宋体" w:hAnsi="宋体" w:cs="宋体"/>
              </w:rPr>
              <w:t xml:space="preserve">13665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0.974</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w:t>
            </w:r>
          </w:p>
        </w:tc>
        <w:tc>
          <w:tcPr>
            <w:tcW w:w="922" w:type="pct"/>
            <w:shd w:val="clear" w:color="auto" w:fill="auto"/>
            <w:vAlign w:val="center"/>
          </w:tcPr>
          <w:p>
            <w:pPr>
              <w:jc w:val="center"/>
              <w:rPr>
                <w:rFonts w:ascii="宋体" w:hAnsi="宋体" w:cs="宋体"/>
              </w:rPr>
            </w:pPr>
            <w:r>
              <w:rPr>
                <w:rFonts w:hint="eastAsia" w:ascii="宋体" w:hAnsi="宋体" w:cs="宋体"/>
              </w:rPr>
              <w:t xml:space="preserve">0.99</w:t>
            </w:r>
          </w:p>
        </w:tc>
        <w:tc>
          <w:tcPr>
            <w:tcW w:w="922" w:type="pct"/>
            <w:shd w:val="clear" w:color="auto" w:fill="auto"/>
            <w:vAlign w:val="center"/>
          </w:tcPr>
          <w:p>
            <w:pPr>
              <w:jc w:val="center"/>
              <w:rPr>
                <w:rFonts w:ascii="宋体" w:hAnsi="宋体" w:cs="宋体"/>
              </w:rPr>
            </w:pPr>
            <w:r>
              <w:rPr>
                <w:rFonts w:hint="eastAsia" w:ascii="宋体" w:hAnsi="宋体" w:cs="宋体"/>
              </w:rPr>
              <w:t xml:space="preserve">0.937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109.08/110.71</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109.08/112.36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109.08/111.26</w:t>
            </w:r>
          </w:p>
        </w:tc>
        <w:tc>
          <w:tcPr>
            <w:tcW w:w="922" w:type="pct"/>
            <w:shd w:val="clear" w:color="auto" w:fill="auto"/>
            <w:vAlign w:val="center"/>
          </w:tcPr>
          <w:p>
            <w:pPr>
              <w:jc w:val="center"/>
              <w:rPr>
                <w:rFonts w:ascii="宋体" w:hAnsi="宋体" w:cs="宋体"/>
              </w:rPr>
            </w:pPr>
            <w:r>
              <w:rPr>
                <w:rFonts w:hint="eastAsia" w:ascii="宋体" w:hAnsi="宋体" w:cs="宋体"/>
              </w:rPr>
              <w:t xml:space="preserve">109.08/110.17</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100.5/100.5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100.5/96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0.9597</w:t>
            </w:r>
          </w:p>
        </w:tc>
        <w:tc>
          <w:tcPr>
            <w:tcW w:w="922" w:type="pct"/>
            <w:shd w:val="clear" w:color="auto" w:fill="auto"/>
            <w:vAlign w:val="center"/>
          </w:tcPr>
          <w:p>
            <w:pPr>
              <w:jc w:val="center"/>
              <w:rPr>
                <w:rFonts w:ascii="宋体" w:hAnsi="宋体" w:cs="宋体"/>
              </w:rPr>
            </w:pPr>
            <w:r>
              <w:rPr>
                <w:rFonts w:hint="eastAsia" w:ascii="宋体" w:hAnsi="宋体" w:cs="宋体"/>
              </w:rPr>
              <w:t xml:space="preserve">0.965</w:t>
            </w:r>
          </w:p>
        </w:tc>
        <w:tc>
          <w:tcPr>
            <w:tcW w:w="922" w:type="pct"/>
            <w:shd w:val="clear" w:color="auto" w:fill="auto"/>
            <w:vAlign w:val="center"/>
          </w:tcPr>
          <w:p>
            <w:pPr>
              <w:jc w:val="center"/>
              <w:rPr>
                <w:rFonts w:ascii="宋体" w:hAnsi="宋体" w:cs="宋体"/>
              </w:rPr>
            </w:pPr>
            <w:r>
              <w:rPr>
                <w:rFonts w:hint="eastAsia" w:ascii="宋体" w:hAnsi="宋体" w:cs="宋体"/>
              </w:rPr>
              <w:t xml:space="preserve">0.9706</w:t>
            </w:r>
          </w:p>
        </w:tc>
        <w:tc>
          <w:tcPr>
            <w:tcW w:w="922" w:type="pct"/>
            <w:shd w:val="clear" w:color="auto" w:fill="auto"/>
            <w:vAlign w:val="center"/>
          </w:tcPr>
          <w:p>
            <w:pPr>
              <w:jc w:val="center"/>
              <w:rPr>
                <w:rFonts w:ascii="宋体" w:hAnsi="宋体" w:cs="宋体"/>
              </w:rPr>
            </w:pPr>
            <w:r>
              <w:rPr>
                <w:rFonts w:hint="eastAsia" w:ascii="宋体" w:hAnsi="宋体" w:cs="宋体"/>
              </w:rPr>
              <w:t xml:space="preserve">0.9712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13375</w:t>
            </w:r>
          </w:p>
        </w:tc>
        <w:tc>
          <w:tcPr>
            <w:tcW w:w="922" w:type="pct"/>
            <w:shd w:val="clear" w:color="auto" w:fill="auto"/>
            <w:vAlign w:val="center"/>
          </w:tcPr>
          <w:p>
            <w:pPr>
              <w:jc w:val="center"/>
              <w:rPr>
                <w:rFonts w:ascii="宋体" w:hAnsi="宋体" w:cs="宋体"/>
              </w:rPr>
            </w:pPr>
            <w:r>
              <w:rPr>
                <w:rFonts w:hint="eastAsia" w:ascii="宋体" w:hAnsi="宋体" w:cs="宋体"/>
              </w:rPr>
              <w:t xml:space="preserve">14847</w:t>
            </w:r>
          </w:p>
        </w:tc>
        <w:tc>
          <w:tcPr>
            <w:tcW w:w="922" w:type="pct"/>
            <w:shd w:val="clear" w:color="auto" w:fill="auto"/>
            <w:vAlign w:val="center"/>
          </w:tcPr>
          <w:p>
            <w:pPr>
              <w:jc w:val="center"/>
              <w:rPr>
                <w:rFonts w:ascii="宋体" w:hAnsi="宋体" w:cs="宋体"/>
              </w:rPr>
            </w:pPr>
            <w:r>
              <w:rPr>
                <w:rFonts w:hint="eastAsia" w:ascii="宋体" w:hAnsi="宋体" w:cs="宋体"/>
              </w:rPr>
              <w:t xml:space="preserve">14365</w:t>
            </w:r>
          </w:p>
        </w:tc>
        <w:tc>
          <w:tcPr>
            <w:tcW w:w="922" w:type="pct"/>
            <w:shd w:val="clear" w:color="auto" w:fill="auto"/>
            <w:vAlign w:val="center"/>
          </w:tcPr>
          <w:p>
            <w:pPr>
              <w:jc w:val="center"/>
              <w:rPr>
                <w:rFonts w:ascii="宋体" w:hAnsi="宋体" w:cs="宋体"/>
              </w:rPr>
            </w:pPr>
            <w:r>
              <w:rPr>
                <w:rFonts w:hint="eastAsia" w:ascii="宋体" w:hAnsi="宋体" w:cs="宋体"/>
              </w:rPr>
              <w:t xml:space="preserve">13271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200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13175</w:t>
            </w:r>
          </w:p>
        </w:tc>
        <w:tc>
          <w:tcPr>
            <w:tcW w:w="922" w:type="pct"/>
            <w:shd w:val="clear" w:color="auto" w:fill="auto"/>
            <w:vAlign w:val="center"/>
          </w:tcPr>
          <w:p>
            <w:pPr>
              <w:jc w:val="center"/>
              <w:rPr>
                <w:rFonts w:ascii="宋体" w:hAnsi="宋体" w:cs="宋体"/>
              </w:rPr>
            </w:pPr>
            <w:r>
              <w:rPr>
                <w:rFonts w:hint="eastAsia" w:ascii="宋体" w:hAnsi="宋体" w:cs="宋体"/>
              </w:rPr>
              <w:t xml:space="preserve">14647</w:t>
            </w:r>
          </w:p>
        </w:tc>
        <w:tc>
          <w:tcPr>
            <w:tcW w:w="922" w:type="pct"/>
            <w:shd w:val="clear" w:color="auto" w:fill="auto"/>
            <w:vAlign w:val="center"/>
          </w:tcPr>
          <w:p>
            <w:pPr>
              <w:jc w:val="center"/>
              <w:rPr>
                <w:rFonts w:ascii="宋体" w:hAnsi="宋体" w:cs="宋体"/>
              </w:rPr>
            </w:pPr>
            <w:r>
              <w:rPr>
                <w:rFonts w:hint="eastAsia" w:ascii="宋体" w:hAnsi="宋体" w:cs="宋体"/>
              </w:rPr>
              <w:t xml:space="preserve">14165</w:t>
            </w:r>
          </w:p>
        </w:tc>
        <w:tc>
          <w:tcPr>
            <w:tcW w:w="922" w:type="pct"/>
            <w:shd w:val="clear" w:color="auto" w:fill="auto"/>
            <w:vAlign w:val="center"/>
          </w:tcPr>
          <w:p>
            <w:pPr>
              <w:jc w:val="center"/>
              <w:rPr>
                <w:rFonts w:ascii="宋体" w:hAnsi="宋体" w:cs="宋体"/>
              </w:rPr>
            </w:pPr>
            <w:r>
              <w:rPr>
                <w:rFonts w:hint="eastAsia" w:ascii="宋体" w:hAnsi="宋体" w:cs="宋体"/>
              </w:rPr>
              <w:t xml:space="preserve">13271</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13814</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6"/>
      <w:bookmarkStart w:name="_Toc32222395" w:id="27"/>
      <w:r>
        <w:rPr>
          <w:rFonts w:hint="eastAsia" w:ascii="黑体" w:eastAsia="黑体"/>
          <w:sz w:val="48"/>
        </w:rPr>
        <w:t xml:space="preserve">附    件</w:t>
      </w:r>
      <w:bookmarkEnd w:id="26"/>
      <w:bookmarkEnd w:id="27"/>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F32050920240013301</w:t>
            </w:r>
          </w:p>
        </w:tc>
        <w:tc>
          <w:tcPr>
            <w:tcW w:w="1842" w:type="dxa"/>
            <w:vAlign w:val="center"/>
          </w:tcPr>
          <w:p>
            <w:pPr>
              <w:jc w:val="center"/>
            </w:pPr>
            <w:r>
              <w:rPr>
                <w:rFonts w:hint="eastAsia" w:ascii="宋体" w:hAnsi="宋体" w:cs="宋体"/>
              </w:rPr>
              <w:t xml:space="preserve">F32050920240025798</w:t>
            </w:r>
          </w:p>
        </w:tc>
        <w:tc>
          <w:tcPr>
            <w:tcW w:w="1843" w:type="dxa"/>
            <w:vAlign w:val="center"/>
          </w:tcPr>
          <w:p>
            <w:pPr>
              <w:jc w:val="center"/>
            </w:pPr>
            <w:r>
              <w:rPr>
                <w:rFonts w:hint="eastAsia" w:ascii="宋体" w:hAnsi="宋体" w:cs="宋体"/>
              </w:rPr>
              <w:t xml:space="preserve">F32050920240021678</w:t>
            </w:r>
          </w:p>
        </w:tc>
        <w:tc>
          <w:tcPr>
            <w:tcW w:w="1985" w:type="dxa"/>
            <w:vAlign w:val="center"/>
          </w:tcPr>
          <w:p>
            <w:pPr>
              <w:jc w:val="center"/>
            </w:pPr>
            <w:r>
              <w:rPr>
                <w:rFonts w:hint="eastAsia" w:ascii="宋体" w:hAnsi="宋体" w:cs="宋体"/>
              </w:rPr>
              <w:t xml:space="preserve">F32050920230047804</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璀璨四季花园22幢203</w:t>
            </w:r>
          </w:p>
        </w:tc>
        <w:tc>
          <w:tcPr>
            <w:tcW w:w="1842" w:type="dxa"/>
            <w:vAlign w:val="center"/>
          </w:tcPr>
          <w:p>
            <w:pPr>
              <w:jc w:val="center"/>
            </w:pPr>
            <w:r>
              <w:rPr>
                <w:rFonts w:hint="eastAsia" w:ascii="宋体" w:hAnsi="宋体" w:cs="宋体"/>
              </w:rPr>
              <w:t xml:space="preserve">璀璨四季花园39幢501</w:t>
            </w:r>
          </w:p>
        </w:tc>
        <w:tc>
          <w:tcPr>
            <w:tcW w:w="1843" w:type="dxa"/>
            <w:vAlign w:val="center"/>
          </w:tcPr>
          <w:p>
            <w:pPr>
              <w:jc w:val="center"/>
            </w:pPr>
            <w:r>
              <w:rPr>
                <w:rFonts w:hint="eastAsia" w:ascii="宋体" w:hAnsi="宋体" w:cs="宋体"/>
              </w:rPr>
              <w:t xml:space="preserve">璀璨四季花园19幢304</w:t>
            </w:r>
          </w:p>
        </w:tc>
        <w:tc>
          <w:tcPr>
            <w:tcW w:w="1985" w:type="dxa"/>
            <w:vAlign w:val="center"/>
          </w:tcPr>
          <w:p>
            <w:pPr>
              <w:jc w:val="center"/>
            </w:pPr>
            <w:r>
              <w:rPr>
                <w:rFonts w:hint="eastAsia" w:ascii="宋体" w:hAnsi="宋体" w:cs="宋体"/>
              </w:rPr>
              <w:t xml:space="preserve">新东华庭1幢303</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璀璨四季花园22幢203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璀璨四季花园39幢501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6"/>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璀璨四季花园19幢304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7"/>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新东华庭1幢303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19"/>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0"/>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1"/>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2"/>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3"/>
                </v:shape>
              </w:pict>
            </w:r>
          </w:p>
        </w:tc>
      </w:tr>
    </w:tbl>
    <w:p>
      <w:pPr>
        <w:spacing w:line="360" w:lineRule="auto"/>
        <w:jc w:val="both"/>
        <w:rPr>
          <w:rFonts w:ascii="仿宋_GB2312" w:hAnsi="华文仿宋" w:eastAsia="仿宋_GB2312"/>
          <w:bCs/>
          <w:sz w:val="28"/>
          <w:szCs w:val="28"/>
        </w:rPr>
      </w:pPr>
    </w:p>
    <w:sectPr>
      <w:footerReference w:type="default" r:id="rId24"/>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楷体_GB2312">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default"/>
    <w:sig w:usb0="00000000" w:usb1="00000000" w:usb2="00000010" w:usb3="00000000" w:csb0="0004009F"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C059">
    <w:panose1 w:val="00000500000000000000"/>
    <w:charset w:val="00"/>
    <w:family w:val="auto"/>
    <w:pitch w:val="default"/>
    <w:sig w:usb0="00000287" w:usb1="00000800" w:usb2="00000000" w:usb3="00000000" w:csb0="6000009F" w:csb1="00000000"/>
  </w:font>
  <w:font w:name="Noto Serif CJK SC">
    <w:panose1 w:val="02020400000000000000"/>
    <w:charset w:val="86"/>
    <w:family w:val="auto"/>
    <w:pitch w:val="default"/>
    <w:sig w:usb0="30000083" w:usb1="2BDF3C10" w:usb2="00000016" w:usb3="00000000" w:csb0="602E0107" w:csb1="00000000"/>
  </w:font>
  <w:font w:name="汉仪仿宋KW">
    <w:panose1 w:val="00020600040101010101"/>
    <w:charset w:val="86"/>
    <w:family w:val="auto"/>
    <w:pitch w:val="default"/>
    <w:sig w:usb0="A00002BF" w:usb1="18EF7CFA" w:usb2="00000016" w:usb3="00000000" w:csb0="00040000"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sl="http://schemas.openxmlformats.org/schemaLibrary/2006/main" xmlns:w="http://schemas.openxmlformats.org/wordprocessingml/2006/main" xmlns:w14="http://schemas.microsoft.com/office/word/2010/wordml"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pn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footer" Target="footer2.xml" /><Relationship Id="rId25" Type="http://schemas.openxmlformats.org/officeDocument/2006/relationships/theme" Target="theme/theme1.xml" /><Relationship Id="rId26" Type="http://schemas.openxmlformats.org/officeDocument/2006/relationships/styles" Target="styles.xml" /><Relationship Id="rId27" Type="http://schemas.openxmlformats.org/officeDocument/2006/relationships/webSettings" Target="webSettings.xml" /><Relationship Id="rId28" Type="http://schemas.openxmlformats.org/officeDocument/2006/relationships/numbering" Target="numbering.xml" /><Relationship Id="rId29" Type="http://schemas.openxmlformats.org/officeDocument/2006/relationships/fontTable" Target="fontTable.xml" /><Relationship Id="rId3" Type="http://schemas.openxmlformats.org/officeDocument/2006/relationships/footer" Target="footer1.xml" /><Relationship Id="rId30"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http://schemas.openxmlformats.org/officeDocument/2006/bibliography" xmlns:b="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WWO_dingtalk_20240221035043-c523bba0e7</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2020-04-01T02:20:00Z</cp:lastPrinted>
  <dcterms:created xsi:type="dcterms:W3CDTF">2023-05-07T01:44:00Z</dcterms:created>
  <dcterms:modified xsi:type="dcterms:W3CDTF">2024-05-09T11:04:40Z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wstr>2052-0.0.0.0</vt:lpwstr>
  </property>
  <property fmtid="{D5CDD505-2E9C-101B-9397-08002B2CF9AE}" pid="3" name="ICV">
    <vt:lpwstr>0681153265704AF2A3DC189A351F6915</vt:lpwstr>
  </property>
</Properties>
</file>