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苏吴地评税字(2024)吴江第01159号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苏州市吴江区吴江松陵片区</w:t>
      </w:r>
      <w:r>
        <w:rPr>
          <w:rFonts w:ascii="宋体" w:hAnsi="宋体" w:eastAsia="宋体" w:asciiTheme="minorEastAsia" w:hAnsiTheme="minorEastAsia" w:eastAsiaTheme="minorEastAsia"/>
          <w:sz w:val="24"/>
          <w:szCs w:val="24"/>
        </w:rPr>
        <w:t xml:space="preserve">吉祥苑高层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2024年11月29日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估价对象位于苏州市吴江区区域范围内的吉祥苑住宅小区高层存量房。该小区内的物业类型包括：</w:t>
      </w:r>
      <w:r>
        <w:rPr>
          <w:rFonts w:ascii="宋体"/>
          <w:sz w:val="24"/>
        </w:rPr>
        <w:t xml:space="preserve">高层、小高层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月修订版），结合估价人员现场查勘，选取吉祥苑</w:t>
      </w:r>
      <w:r>
        <w:rPr>
          <w:rFonts w:ascii="宋体"/>
          <w:sz w:val="24"/>
        </w:rPr>
        <w:t xml:space="preserve">8幢103室</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18</w:t>
      </w:r>
      <w:r>
        <w:rPr>
          <w:rFonts w:hint="eastAsia" w:ascii="宋体"/>
          <w:sz w:val="24"/>
        </w:rPr>
        <w:t xml:space="preserve">层，建筑面积</w:t>
      </w:r>
      <w:r>
        <w:rPr>
          <w:rFonts w:ascii="宋体"/>
          <w:sz w:val="24"/>
        </w:rPr>
        <w:t xml:space="preserve">135.2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2011</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2081年02月28日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2024年11月22日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2024年11月22日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捌仟肆佰玖拾元整</w:t>
      </w:r>
      <w:r>
        <w:rPr>
          <w:rFonts w:hint="eastAsia" w:ascii="宋体" w:hAnsi="宋体"/>
          <w:b/>
          <w:bCs/>
          <w:sz w:val="24"/>
        </w:rPr>
        <w:t xml:space="preserve">（RMB</w:t>
      </w:r>
      <w:r>
        <w:rPr>
          <w:rFonts w:ascii="宋体" w:hAnsi="宋体"/>
          <w:b/>
          <w:bCs/>
          <w:sz w:val="24"/>
        </w:rPr>
        <w:t xml:space="preserve"> 8490</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2024年11月29日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2024年11月29日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2024年11月29日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2024年11月29日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5.本报告作为整体使用时有效。若房地产市场无重大波动，本估价报告自出具日起一年内有效，从2024年11月29日至</w:t>
      </w:r>
      <w:r>
        <w:rPr>
          <w:rFonts w:ascii="宋体" w:hAnsi="宋体"/>
          <w:sz w:val="24"/>
        </w:rPr>
        <w:t xml:space="preserve">2025年11月28日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估价对象为吉祥苑</w:t>
      </w:r>
      <w:r>
        <w:rPr>
          <w:rFonts w:ascii="宋体" w:hAnsi="宋体"/>
          <w:sz w:val="24"/>
        </w:rPr>
        <w:t xml:space="preserve">8幢103室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松岭大道东侧</w:t>
      </w:r>
      <w:r>
        <w:rPr>
          <w:rFonts w:hint="eastAsia" w:hAnsi="宋体"/>
          <w:sz w:val="24"/>
        </w:rPr>
        <w:t xml:space="preserve">的“吉祥苑”住宅区内。</w:t>
      </w:r>
      <w:r>
        <w:rPr>
          <w:rFonts w:hint="eastAsia" w:ascii="宋体" w:hAnsi="宋体"/>
          <w:sz w:val="24"/>
        </w:rPr>
        <w:t xml:space="preserve">估价对象东至</w:t>
      </w:r>
      <w:r>
        <w:rPr>
          <w:rFonts w:ascii="宋体" w:hAnsi="宋体"/>
          <w:sz w:val="24"/>
          <w:szCs w:val="24"/>
        </w:rPr>
        <w:t xml:space="preserve">苏州河路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松陵大道</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江村路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庞杨路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135.2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松岭大道东侧</w:t>
      </w:r>
      <w:r>
        <w:rPr>
          <w:rFonts w:hint="eastAsia" w:hAnsi="宋体"/>
          <w:sz w:val="24"/>
        </w:rPr>
        <w:t xml:space="preserve">的“吉祥苑”住宅区内。该小区内的物业类型包括：</w:t>
      </w:r>
      <w:r>
        <w:rPr>
          <w:rFonts w:hAnsi="宋体"/>
          <w:sz w:val="24"/>
        </w:rPr>
        <w:t xml:space="preserve">高层、小高层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吉祥苑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“吉祥苑”小区</w:t>
            </w:r>
            <w:r>
              <w:rPr>
                <w:rFonts w:ascii="Cambria" w:hAnsi="宋体" w:eastAsia="黑体" w:cs="Times New Roman" w:asciiTheme="majorHAnsi" w:cstheme="majorBidi"/>
                <w:sz w:val="15"/>
                <w:szCs w:val="15"/>
              </w:rPr>
              <w:t xml:space="preserve">8幢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由于吉祥苑市场交易不活跃，片区内可选案例较少，因此选择的案例A，B，C，D，距离在3公里以外。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吉祥苑住宅2024年11月挂牌均价12757元/平方米，较年初持平。待评估二手房住宅近12个月（2023年12月-2024年11月）挂牌均价波动幅度较小，价格维持在12757-15294元/平方米之间。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均价说明：吉祥苑小区物业类型包括：高层、小高层,房源均价为:12757元/平方米，包含毛坯价值以及附带装修价值。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该房屋为18层住宅楼的第1层，建于2011年，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135.2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2081年02月28日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2024年11月22日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捌仟肆佰玖拾元整</w:t>
      </w:r>
      <w:r>
        <w:rPr>
          <w:rFonts w:hint="eastAsia" w:ascii="宋体" w:hAnsi="宋体"/>
          <w:b/>
          <w:bCs/>
          <w:sz w:val="24"/>
        </w:rPr>
        <w:t xml:space="preserve">（RMB </w:t>
      </w:r>
      <w:r>
        <w:rPr>
          <w:rFonts w:ascii="宋体" w:hAnsi="宋体"/>
          <w:b/>
          <w:bCs/>
          <w:sz w:val="24"/>
        </w:rPr>
        <w:t xml:space="preserve">8490</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114.79</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8490</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2024年11月29日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2024年11月29日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本次实地查勘期为2024年11月22日，并于当日完成现场查勘。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2024年11月22日</w:t>
      </w:r>
      <w:r>
        <w:rPr>
          <w:rFonts w:hint="eastAsia" w:ascii="宋体"/>
          <w:sz w:val="24"/>
        </w:rPr>
        <w:t xml:space="preserve">至2024年11月29日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估价对象为苏州市吴江区“吉祥苑”住宅区内的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位于江村路北侧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江村路北侧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附近有721路、748路等多条公交线路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苏州银行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联杨农贸市场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吴江区松陵幼儿园联杨园区</w:t>
      </w:r>
      <w:r>
        <w:rPr>
          <w:rFonts w:hint="eastAsia" w:ascii="宋体" w:hAnsi="宋体" w:eastAsia="宋体" w:asciiTheme="minorEastAsia" w:hAnsiTheme="minorEastAsia" w:eastAsiaTheme="minorEastAsia"/>
          <w:sz w:val="24"/>
        </w:rPr>
        <w:t xml:space="preserve">、</w:t>
      </w:r>
      <w:r>
        <w:rPr>
          <w:rFonts w:hAnsi="宋体"/>
          <w:sz w:val="24"/>
        </w:rPr>
        <w:t xml:space="preserve">东太湖实验小学</w:t>
      </w:r>
      <w:r>
        <w:rPr>
          <w:rFonts w:hint="eastAsia" w:hAnsi="宋体"/>
          <w:sz w:val="24"/>
        </w:rPr>
        <w:t xml:space="preserve">、</w:t>
      </w:r>
      <w:r>
        <w:rPr>
          <w:rFonts w:hAnsi="宋体"/>
          <w:sz w:val="24"/>
        </w:rPr>
        <w:t xml:space="preserve">江苏省震泽中学(思贤路)</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2081年02月28日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苏州河路</w:t>
      </w:r>
      <w:r>
        <w:rPr>
          <w:rFonts w:hint="eastAsia" w:ascii="宋体" w:hAnsi="宋体"/>
          <w:sz w:val="24"/>
        </w:rPr>
        <w:t xml:space="preserve">，南至</w:t>
      </w:r>
      <w:r>
        <w:rPr>
          <w:rFonts w:ascii="宋体" w:hAnsi="宋体"/>
          <w:sz w:val="24"/>
        </w:rPr>
        <w:t xml:space="preserve">松陵大道</w:t>
      </w:r>
      <w:r>
        <w:rPr>
          <w:rFonts w:hint="eastAsia" w:ascii="宋体" w:hAnsi="宋体"/>
          <w:sz w:val="24"/>
        </w:rPr>
        <w:t xml:space="preserve">，西至</w:t>
      </w:r>
      <w:r>
        <w:rPr>
          <w:rFonts w:ascii="宋体" w:hAnsi="宋体"/>
          <w:sz w:val="24"/>
        </w:rPr>
        <w:t xml:space="preserve">江村路</w:t>
      </w:r>
      <w:r>
        <w:rPr>
          <w:rFonts w:hint="eastAsia" w:ascii="宋体" w:hAnsi="宋体"/>
          <w:sz w:val="24"/>
        </w:rPr>
        <w:t xml:space="preserve">，北至</w:t>
      </w:r>
      <w:r>
        <w:rPr>
          <w:rFonts w:ascii="宋体" w:hAnsi="宋体"/>
          <w:sz w:val="24"/>
        </w:rPr>
        <w:t xml:space="preserve">庞杨路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估价对象为坐落于苏州市吴江区吉祥苑</w:t>
      </w:r>
      <w:r>
        <w:t xml:space="preserve"> </w:t>
      </w:r>
      <w:r>
        <w:rPr>
          <w:rFonts w:ascii="宋体" w:hAnsi="宋体"/>
          <w:kern w:val="2"/>
          <w:sz w:val="24"/>
        </w:rPr>
        <w:t xml:space="preserve">8幢103室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估价对象为高层建筑，建筑面积为</w:t>
      </w:r>
      <w:r>
        <w:rPr>
          <w:rFonts w:hAnsi="宋体"/>
          <w:sz w:val="24"/>
        </w:rPr>
        <w:t xml:space="preserve">135.2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3层数、层高：估价对象位于总楼层为18层的第1层，层高约2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估价对象建成于2011年，基础较为稳固，未见沉降；墙面、地面、门窗等保养完好，综合保养成新度为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吉祥苑住宅2024年11月挂牌均价12757元/平方米，较年初持平。待评估二手房住宅近12个月（2023年12月-2024年11月）挂牌均价波动幅度较小，价格维持在12757-15294元/平方米之间。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苏州市吴江区吉祥苑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F32050920240027212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F32050920240021565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s202406030231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s202402020091</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吴江区吴江松陵片区吉祥苑8幢103室高层住宅标准房基准价格评估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滨湖绿郡36幢1607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山湖弘雅苑28幢905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太湖鼎城5幢102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奥林清华世纪公元107幢1402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96.1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93.94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74.24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85.36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16/35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14/32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2024年11月22日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9157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9429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9218</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指数，吴江区2023年11月至2024年10月住宅月度价格指数表为：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2024年10月22日</w:t>
            </w:r>
          </w:p>
        </w:tc>
        <w:tc>
          <w:tcPr>
            <w:tcW w:w="778" w:type="pct"/>
            <w:shd w:val="clear" w:color="auto" w:fill="FFFFFF"/>
            <w:vAlign w:val="center"/>
          </w:tcPr>
          <w:p>
            <w:pPr>
              <w:jc w:val="center"/>
            </w:pPr>
            <w:r>
              <w:rPr>
                <w:rFonts w:hint="eastAsia" w:ascii="宋体" w:hAnsi="宋体" w:cs="宋体"/>
              </w:rPr>
              <w:t xml:space="preserve">2023年12月</w:t>
            </w:r>
          </w:p>
        </w:tc>
        <w:tc>
          <w:tcPr>
            <w:tcW w:w="779"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2024年03月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9157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9001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9429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9218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1919</w:t>
            </w:r>
          </w:p>
        </w:tc>
        <w:tc>
          <w:tcPr>
            <w:tcW w:w="778" w:type="pct"/>
            <w:shd w:val="clear" w:color="auto" w:fill="FFFFFF"/>
            <w:vAlign w:val="center"/>
          </w:tcPr>
          <w:p>
            <w:pPr>
              <w:jc w:val="center"/>
            </w:pPr>
            <w:r>
              <w:rPr>
                <w:rFonts w:hint="eastAsia" w:ascii="宋体" w:hAnsi="宋体" w:cs="宋体"/>
              </w:rPr>
              <w:t xml:space="preserve">2048</w:t>
            </w:r>
          </w:p>
        </w:tc>
        <w:tc>
          <w:tcPr>
            <w:tcW w:w="779"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1919/1919</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1919/2048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0.937</w:t>
            </w:r>
          </w:p>
        </w:tc>
        <w:tc>
          <w:tcPr>
            <w:tcW w:w="779" w:type="pct"/>
            <w:shd w:val="clear" w:color="auto" w:fill="FFFFFF"/>
            <w:vAlign w:val="center"/>
          </w:tcPr>
          <w:p>
            <w:pPr>
              <w:jc w:val="center"/>
            </w:pPr>
            <w:r>
              <w:rPr>
                <w:rFonts w:hint="eastAsia" w:ascii="宋体" w:hAnsi="宋体" w:cs="宋体"/>
              </w:rPr>
              <w:t xml:space="preserve">0.99</w:t>
            </w:r>
          </w:p>
        </w:tc>
        <w:tc>
          <w:tcPr>
            <w:tcW w:w="779" w:type="pct"/>
            <w:shd w:val="clear" w:color="auto" w:fill="FFFFFF"/>
            <w:vAlign w:val="center"/>
          </w:tcPr>
          <w:p>
            <w:pPr>
              <w:jc w:val="center"/>
            </w:pPr>
            <w:r>
              <w:rPr>
                <w:rFonts w:hint="eastAsia" w:ascii="宋体" w:hAnsi="宋体" w:cs="宋体"/>
              </w:rPr>
              <w:t xml:space="preserve">0.974</w:t>
            </w:r>
          </w:p>
        </w:tc>
        <w:tc>
          <w:tcPr>
            <w:tcW w:w="779" w:type="pct"/>
            <w:shd w:val="clear" w:color="auto" w:fill="FFFFFF"/>
            <w:vAlign w:val="center"/>
          </w:tcPr>
          <w:p>
            <w:pPr>
              <w:jc w:val="center"/>
            </w:pPr>
            <w:r>
              <w:rPr>
                <w:rFonts w:hint="eastAsia" w:ascii="宋体" w:hAnsi="宋体" w:cs="宋体"/>
              </w:rPr>
              <w:t xml:space="preserve">0.974</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备注：在价值时点2024年11月22日</w:t>
      </w:r>
      <w:r>
        <w:rPr>
          <w:rFonts w:hint="eastAsia" w:ascii="宋体" w:hAnsi="宋体" w:cs="宋体"/>
          <w:sz w:val="24"/>
          <w:szCs w:val="24"/>
        </w:rPr>
        <w:t xml:space="preserve">，2024年11月份价格指数尚未公布，本次估价采用2024年10月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2103855262"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吴江区吴江松陵片区吉祥苑8幢103室高层住宅标准房基准价格评估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滨湖绿郡36幢1607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山湖弘雅苑28幢905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太湖鼎城5幢102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奥林清华世纪公元107幢1402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96.1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93.94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74.24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85.36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118.43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116.17</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0.939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0.8631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0.9146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9429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9218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7903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8443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8431</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9157</w:t>
            </w:r>
          </w:p>
        </w:tc>
        <w:tc>
          <w:tcPr>
            <w:tcW w:w="922" w:type="pct"/>
            <w:shd w:val="clear" w:color="auto" w:fill="auto"/>
            <w:vAlign w:val="center"/>
          </w:tcPr>
          <w:p>
            <w:pPr>
              <w:jc w:val="center"/>
              <w:rPr>
                <w:rFonts w:ascii="宋体" w:hAnsi="宋体" w:cs="宋体"/>
              </w:rPr>
            </w:pPr>
            <w:r>
              <w:rPr>
                <w:rFonts w:hint="eastAsia" w:ascii="宋体" w:hAnsi="宋体" w:cs="宋体"/>
              </w:rPr>
              <w:t xml:space="preserve">9001</w:t>
            </w:r>
          </w:p>
        </w:tc>
        <w:tc>
          <w:tcPr>
            <w:tcW w:w="922" w:type="pct"/>
            <w:shd w:val="clear" w:color="auto" w:fill="auto"/>
            <w:vAlign w:val="center"/>
          </w:tcPr>
          <w:p>
            <w:pPr>
              <w:jc w:val="center"/>
              <w:rPr>
                <w:rFonts w:ascii="宋体" w:hAnsi="宋体" w:cs="宋体"/>
              </w:rPr>
            </w:pPr>
            <w:r>
              <w:rPr>
                <w:rFonts w:hint="eastAsia" w:ascii="宋体" w:hAnsi="宋体" w:cs="宋体"/>
              </w:rPr>
              <w:t xml:space="preserve">9429</w:t>
            </w:r>
          </w:p>
        </w:tc>
        <w:tc>
          <w:tcPr>
            <w:tcW w:w="922" w:type="pct"/>
            <w:shd w:val="clear" w:color="auto" w:fill="auto"/>
            <w:vAlign w:val="center"/>
          </w:tcPr>
          <w:p>
            <w:pPr>
              <w:jc w:val="center"/>
              <w:rPr>
                <w:rFonts w:ascii="宋体" w:hAnsi="宋体" w:cs="宋体"/>
              </w:rPr>
            </w:pPr>
            <w:r>
              <w:rPr>
                <w:rFonts w:hint="eastAsia" w:ascii="宋体" w:hAnsi="宋体" w:cs="宋体"/>
              </w:rPr>
              <w:t xml:space="preserve">9218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0.937</w:t>
            </w:r>
          </w:p>
        </w:tc>
        <w:tc>
          <w:tcPr>
            <w:tcW w:w="922" w:type="pct"/>
            <w:shd w:val="clear" w:color="auto" w:fill="auto"/>
            <w:vAlign w:val="center"/>
          </w:tcPr>
          <w:p>
            <w:pPr>
              <w:jc w:val="center"/>
              <w:rPr>
                <w:rFonts w:ascii="宋体" w:hAnsi="宋体" w:cs="宋体"/>
              </w:rPr>
            </w:pPr>
            <w:r>
              <w:rPr>
                <w:rFonts w:hint="eastAsia" w:ascii="宋体" w:hAnsi="宋体" w:cs="宋体"/>
              </w:rPr>
              <w:t xml:space="preserve">0.99</w:t>
            </w:r>
          </w:p>
        </w:tc>
        <w:tc>
          <w:tcPr>
            <w:tcW w:w="922" w:type="pct"/>
            <w:shd w:val="clear" w:color="auto" w:fill="auto"/>
            <w:vAlign w:val="center"/>
          </w:tcPr>
          <w:p>
            <w:pPr>
              <w:jc w:val="center"/>
              <w:rPr>
                <w:rFonts w:ascii="宋体" w:hAnsi="宋体" w:cs="宋体"/>
              </w:rPr>
            </w:pPr>
            <w:r>
              <w:rPr>
                <w:rFonts w:hint="eastAsia" w:ascii="宋体" w:hAnsi="宋体" w:cs="宋体"/>
              </w:rPr>
              <w:t xml:space="preserve">0.974</w:t>
            </w:r>
          </w:p>
        </w:tc>
        <w:tc>
          <w:tcPr>
            <w:tcW w:w="922" w:type="pct"/>
            <w:shd w:val="clear" w:color="auto" w:fill="auto"/>
            <w:vAlign w:val="center"/>
          </w:tcPr>
          <w:p>
            <w:pPr>
              <w:jc w:val="center"/>
              <w:rPr>
                <w:rFonts w:ascii="宋体" w:hAnsi="宋体" w:cs="宋体"/>
              </w:rPr>
            </w:pPr>
            <w:r>
              <w:rPr>
                <w:rFonts w:hint="eastAsia" w:ascii="宋体" w:hAnsi="宋体" w:cs="宋体"/>
              </w:rPr>
              <w:t xml:space="preserve">0.974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109.08/118.43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109.08/113.44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109.08/109.08</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109.08/116.17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0.8631</w:t>
            </w:r>
          </w:p>
        </w:tc>
        <w:tc>
          <w:tcPr>
            <w:tcW w:w="922" w:type="pct"/>
            <w:shd w:val="clear" w:color="auto" w:fill="auto"/>
            <w:vAlign w:val="center"/>
          </w:tcPr>
          <w:p>
            <w:pPr>
              <w:jc w:val="center"/>
              <w:rPr>
                <w:rFonts w:ascii="宋体" w:hAnsi="宋体" w:cs="宋体"/>
              </w:rPr>
            </w:pPr>
            <w:r>
              <w:rPr>
                <w:rFonts w:hint="eastAsia" w:ascii="宋体" w:hAnsi="宋体" w:cs="宋体"/>
              </w:rPr>
              <w:t xml:space="preserve">0.938</w:t>
            </w:r>
          </w:p>
        </w:tc>
        <w:tc>
          <w:tcPr>
            <w:tcW w:w="922" w:type="pct"/>
            <w:shd w:val="clear" w:color="auto" w:fill="auto"/>
            <w:vAlign w:val="center"/>
          </w:tcPr>
          <w:p>
            <w:pPr>
              <w:jc w:val="center"/>
              <w:rPr>
                <w:rFonts w:ascii="宋体" w:hAnsi="宋体" w:cs="宋体"/>
              </w:rPr>
            </w:pPr>
            <w:r>
              <w:rPr>
                <w:rFonts w:hint="eastAsia" w:ascii="宋体" w:hAnsi="宋体" w:cs="宋体"/>
              </w:rPr>
              <w:t xml:space="preserve">0.974</w:t>
            </w:r>
          </w:p>
        </w:tc>
        <w:tc>
          <w:tcPr>
            <w:tcW w:w="922" w:type="pct"/>
            <w:shd w:val="clear" w:color="auto" w:fill="auto"/>
            <w:vAlign w:val="center"/>
          </w:tcPr>
          <w:p>
            <w:pPr>
              <w:jc w:val="center"/>
              <w:rPr>
                <w:rFonts w:ascii="宋体" w:hAnsi="宋体" w:cs="宋体"/>
              </w:rPr>
            </w:pPr>
            <w:r>
              <w:rPr>
                <w:rFonts w:hint="eastAsia" w:ascii="宋体" w:hAnsi="宋体" w:cs="宋体"/>
              </w:rPr>
              <w:t xml:space="preserve">0.9146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7903</w:t>
            </w:r>
          </w:p>
        </w:tc>
        <w:tc>
          <w:tcPr>
            <w:tcW w:w="922" w:type="pct"/>
            <w:shd w:val="clear" w:color="auto" w:fill="auto"/>
            <w:vAlign w:val="center"/>
          </w:tcPr>
          <w:p>
            <w:pPr>
              <w:jc w:val="center"/>
              <w:rPr>
                <w:rFonts w:ascii="宋体" w:hAnsi="宋体" w:cs="宋体"/>
              </w:rPr>
            </w:pPr>
            <w:r>
              <w:rPr>
                <w:rFonts w:hint="eastAsia" w:ascii="宋体" w:hAnsi="宋体" w:cs="宋体"/>
              </w:rPr>
              <w:t xml:space="preserve">8443</w:t>
            </w:r>
          </w:p>
        </w:tc>
        <w:tc>
          <w:tcPr>
            <w:tcW w:w="922" w:type="pct"/>
            <w:shd w:val="clear" w:color="auto" w:fill="auto"/>
            <w:vAlign w:val="center"/>
          </w:tcPr>
          <w:p>
            <w:pPr>
              <w:jc w:val="center"/>
              <w:rPr>
                <w:rFonts w:ascii="宋体" w:hAnsi="宋体" w:cs="宋体"/>
              </w:rPr>
            </w:pPr>
            <w:r>
              <w:rPr>
                <w:rFonts w:hint="eastAsia" w:ascii="宋体" w:hAnsi="宋体" w:cs="宋体"/>
              </w:rPr>
              <w:t xml:space="preserve">9184</w:t>
            </w:r>
          </w:p>
        </w:tc>
        <w:tc>
          <w:tcPr>
            <w:tcW w:w="922" w:type="pct"/>
            <w:shd w:val="clear" w:color="auto" w:fill="auto"/>
            <w:vAlign w:val="center"/>
          </w:tcPr>
          <w:p>
            <w:pPr>
              <w:jc w:val="center"/>
              <w:rPr>
                <w:rFonts w:ascii="宋体" w:hAnsi="宋体" w:cs="宋体"/>
              </w:rPr>
            </w:pPr>
            <w:r>
              <w:rPr>
                <w:rFonts w:hint="eastAsia" w:ascii="宋体" w:hAnsi="宋体" w:cs="宋体"/>
              </w:rPr>
              <w:t xml:space="preserve">8431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7903</w:t>
            </w:r>
          </w:p>
        </w:tc>
        <w:tc>
          <w:tcPr>
            <w:tcW w:w="922" w:type="pct"/>
            <w:shd w:val="clear" w:color="auto" w:fill="auto"/>
            <w:vAlign w:val="center"/>
          </w:tcPr>
          <w:p>
            <w:pPr>
              <w:jc w:val="center"/>
              <w:rPr>
                <w:rFonts w:ascii="宋体" w:hAnsi="宋体" w:cs="宋体"/>
              </w:rPr>
            </w:pPr>
            <w:r>
              <w:rPr>
                <w:rFonts w:hint="eastAsia" w:ascii="宋体" w:hAnsi="宋体" w:cs="宋体"/>
              </w:rPr>
              <w:t xml:space="preserve">8443</w:t>
            </w:r>
          </w:p>
        </w:tc>
        <w:tc>
          <w:tcPr>
            <w:tcW w:w="922" w:type="pct"/>
            <w:shd w:val="clear" w:color="auto" w:fill="auto"/>
            <w:vAlign w:val="center"/>
          </w:tcPr>
          <w:p>
            <w:pPr>
              <w:jc w:val="center"/>
              <w:rPr>
                <w:rFonts w:ascii="宋体" w:hAnsi="宋体" w:cs="宋体"/>
              </w:rPr>
            </w:pPr>
            <w:r>
              <w:rPr>
                <w:rFonts w:hint="eastAsia" w:ascii="宋体" w:hAnsi="宋体" w:cs="宋体"/>
              </w:rPr>
              <w:t xml:space="preserve">9184</w:t>
            </w:r>
          </w:p>
        </w:tc>
        <w:tc>
          <w:tcPr>
            <w:tcW w:w="922" w:type="pct"/>
            <w:shd w:val="clear" w:color="auto" w:fill="auto"/>
            <w:vAlign w:val="center"/>
          </w:tcPr>
          <w:p>
            <w:pPr>
              <w:jc w:val="center"/>
              <w:rPr>
                <w:rFonts w:ascii="宋体" w:hAnsi="宋体" w:cs="宋体"/>
              </w:rPr>
            </w:pPr>
            <w:r>
              <w:rPr>
                <w:rFonts w:hint="eastAsia" w:ascii="宋体" w:hAnsi="宋体" w:cs="宋体"/>
              </w:rPr>
              <w:t xml:space="preserve">8431</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8490</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F32050920240027212</w:t>
            </w:r>
          </w:p>
        </w:tc>
        <w:tc>
          <w:tcPr>
            <w:tcW w:w="1842" w:type="dxa"/>
            <w:vAlign w:val="center"/>
          </w:tcPr>
          <w:p>
            <w:pPr>
              <w:jc w:val="center"/>
            </w:pPr>
            <w:r>
              <w:rPr>
                <w:rFonts w:hint="eastAsia" w:ascii="宋体" w:hAnsi="宋体" w:cs="宋体"/>
              </w:rPr>
              <w:t xml:space="preserve">F32050920240021565</w:t>
            </w:r>
          </w:p>
        </w:tc>
        <w:tc>
          <w:tcPr>
            <w:tcW w:w="1843" w:type="dxa"/>
            <w:vAlign w:val="center"/>
          </w:tcPr>
          <w:p>
            <w:pPr>
              <w:jc w:val="center"/>
            </w:pPr>
            <w:r>
              <w:rPr>
                <w:rFonts w:hint="eastAsia" w:ascii="宋体" w:hAnsi="宋体" w:cs="宋体"/>
              </w:rPr>
              <w:t xml:space="preserve">s202406030231</w:t>
            </w:r>
          </w:p>
        </w:tc>
        <w:tc>
          <w:tcPr>
            <w:tcW w:w="1985" w:type="dxa"/>
            <w:vAlign w:val="center"/>
          </w:tcPr>
          <w:p>
            <w:pPr>
              <w:jc w:val="center"/>
            </w:pPr>
            <w:r>
              <w:rPr>
                <w:rFonts w:hint="eastAsia" w:ascii="宋体" w:hAnsi="宋体" w:cs="宋体"/>
              </w:rPr>
              <w:t xml:space="preserve">s202402020091</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滨湖绿郡36幢1607</w:t>
            </w:r>
          </w:p>
        </w:tc>
        <w:tc>
          <w:tcPr>
            <w:tcW w:w="1842" w:type="dxa"/>
            <w:vAlign w:val="center"/>
          </w:tcPr>
          <w:p>
            <w:pPr>
              <w:jc w:val="center"/>
            </w:pPr>
            <w:r>
              <w:rPr>
                <w:rFonts w:hint="eastAsia" w:ascii="宋体" w:hAnsi="宋体" w:cs="宋体"/>
              </w:rPr>
              <w:t xml:space="preserve">山湖弘雅苑28幢905</w:t>
            </w:r>
          </w:p>
        </w:tc>
        <w:tc>
          <w:tcPr>
            <w:tcW w:w="1843" w:type="dxa"/>
            <w:vAlign w:val="center"/>
          </w:tcPr>
          <w:p>
            <w:pPr>
              <w:jc w:val="center"/>
            </w:pPr>
            <w:r>
              <w:rPr>
                <w:rFonts w:hint="eastAsia" w:ascii="宋体" w:hAnsi="宋体" w:cs="宋体"/>
              </w:rPr>
              <w:t xml:space="preserve">太湖鼎城5幢102</w:t>
            </w:r>
          </w:p>
        </w:tc>
        <w:tc>
          <w:tcPr>
            <w:tcW w:w="1985" w:type="dxa"/>
            <w:vAlign w:val="center"/>
          </w:tcPr>
          <w:p>
            <w:pPr>
              <w:jc w:val="center"/>
            </w:pPr>
            <w:r>
              <w:rPr>
                <w:rFonts w:hint="eastAsia" w:ascii="宋体" w:hAnsi="宋体" w:cs="宋体"/>
              </w:rPr>
              <w:t xml:space="preserve">奥林清华世纪公元107幢1402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滨湖绿郡36幢1607</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山湖弘雅苑28幢905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太湖鼎城5幢102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奥林清华世纪公元107幢1402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pn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