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苏吴地评税字(2024)吴江第01177号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长安花园联排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2024年12月10日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估价对象位于苏州市吴江区区域范围内的长安花园住宅小区联排存量房。该小区内的物业类型包括：</w:t>
      </w:r>
      <w:r>
        <w:rPr>
          <w:rFonts w:ascii="宋体"/>
          <w:sz w:val="24"/>
        </w:rPr>
        <w:t xml:space="preserve">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月修订版），结合估价人员现场查勘，选取长安花园</w:t>
      </w:r>
      <w:r>
        <w:rPr>
          <w:rFonts w:ascii="宋体"/>
          <w:sz w:val="24"/>
        </w:rPr>
        <w:t xml:space="preserve">10幢102室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355.32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2080年10月08日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2024年12月02日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2024年12月02日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贰万叁仟零捌拾陆元整</w:t>
      </w:r>
      <w:r>
        <w:rPr>
          <w:rFonts w:hint="eastAsia" w:ascii="宋体" w:hAnsi="宋体"/>
          <w:b/>
          <w:bCs/>
          <w:sz w:val="24"/>
        </w:rPr>
        <w:t xml:space="preserve">（RMB</w:t>
      </w:r>
      <w:r>
        <w:rPr>
          <w:rFonts w:ascii="宋体" w:hAnsi="宋体"/>
          <w:b/>
          <w:bCs/>
          <w:sz w:val="24"/>
        </w:rPr>
        <w:t xml:space="preserve"> 23086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2024年12月10日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2024年12月10日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2024年12月10日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2024年12月10日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5.本报告作为整体使用时有效。若房地产市场无重大波动，本估价报告自出具日起一年内有效，从2024年12月10日至</w:t>
      </w:r>
      <w:r>
        <w:rPr>
          <w:rFonts w:ascii="宋体" w:hAnsi="宋体"/>
          <w:sz w:val="24"/>
        </w:rPr>
        <w:t xml:space="preserve">2025年12月09日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估价对象为长安花园</w:t>
      </w:r>
      <w:r>
        <w:rPr>
          <w:rFonts w:ascii="宋体" w:hAnsi="宋体"/>
          <w:sz w:val="24"/>
        </w:rPr>
        <w:t xml:space="preserve">10幢102室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的“长安花园”住宅区内。</w:t>
      </w:r>
      <w:r>
        <w:rPr>
          <w:rFonts w:hint="eastAsia" w:ascii="宋体" w:hAnsi="宋体"/>
          <w:sz w:val="24"/>
        </w:rPr>
        <w:t xml:space="preserve">估价对象东至</w:t>
      </w:r>
      <w:r>
        <w:rPr>
          <w:rFonts w:ascii="宋体" w:hAnsi="宋体"/>
          <w:sz w:val="24"/>
          <w:szCs w:val="24"/>
        </w:rPr>
        <w:t xml:space="preserve">花园路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长板路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万宝商务广场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安惠路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355.32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的“长安花园”住宅区内。该小区内的物业类型包括：</w:t>
      </w:r>
      <w:r>
        <w:rPr>
          <w:rFonts w:hAnsi="宋体"/>
          <w:sz w:val="24"/>
        </w:rPr>
        <w:t xml:space="preserve">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长安花园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“长安花园”小区</w:t>
            </w:r>
            <w:r>
              <w:rPr>
                <w:rFonts w:ascii="Cambria" w:hAnsi="宋体" w:eastAsia="黑体" w:cs="Times New Roman" w:asciiTheme="majorHAnsi" w:cstheme="majorBidi"/>
                <w:sz w:val="15"/>
                <w:szCs w:val="15"/>
              </w:rPr>
              <w:t xml:space="preserve">10幢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由于长安花园市场交易不活跃，片区内可选案例较少，因此选择的案例A，B，C，D，距离在3公里以外。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长安花园住宅2024年12月挂牌均价16008元/平方米，较年初持平。待评估二手房住宅近10个月（2024年03月-2024年12月）挂牌均价波动幅度较小，价格维持在16008-18202元/平方米之间。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均价说明：长安花园小区物业类型包括：高层、联排,房源均价为:16008元/平方米，包含毛坯价值以及附带装修价值。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该房屋为3层住宅楼的第1-3层，建于2013年，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355.32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2080年10月08日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2024年12月02日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贰万叁仟零捌拾陆元整</w:t>
      </w:r>
      <w:r>
        <w:rPr>
          <w:rFonts w:hint="eastAsia" w:ascii="宋体" w:hAnsi="宋体"/>
          <w:b/>
          <w:bCs/>
          <w:sz w:val="24"/>
        </w:rPr>
        <w:t xml:space="preserve">（RMB </w:t>
      </w:r>
      <w:r>
        <w:rPr>
          <w:rFonts w:ascii="宋体" w:hAnsi="宋体"/>
          <w:b/>
          <w:bCs/>
          <w:sz w:val="24"/>
        </w:rPr>
        <w:t xml:space="preserve">23086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820.28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23086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2024年12月10日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2024年12月10日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本次实地查勘期为2024年12月02日，并于当日完成现场查勘。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2024年12月02日</w:t>
      </w:r>
      <w:r>
        <w:rPr>
          <w:rFonts w:hint="eastAsia" w:ascii="宋体"/>
          <w:sz w:val="24"/>
        </w:rPr>
        <w:t xml:space="preserve">至2024年12月10日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估价对象为苏州市吴江区“长安花园”住宅区内的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位于万宝商务广场东侧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万宝商务广场东侧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附近有702路、705路等多条公交线路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大润发(万宝财富商业广场店)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广发银行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北区小菜场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阳光幼儿园(长板路)</w:t>
      </w:r>
      <w:r>
        <w:rPr>
          <w:rFonts w:hint="eastAsia" w:ascii="宋体" w:hAnsi="宋体" w:eastAsia="宋体" w:asciiTheme="minorEastAsia" w:hAnsiTheme="minorEastAsia" w:eastAsiaTheme="minorEastAsia"/>
          <w:sz w:val="24"/>
        </w:rPr>
        <w:t xml:space="preserve">、</w:t>
      </w:r>
      <w:r>
        <w:rPr>
          <w:rFonts w:hAnsi="宋体"/>
          <w:sz w:val="24"/>
        </w:rPr>
        <w:t xml:space="preserve">长安花苑小学</w:t>
      </w:r>
      <w:r>
        <w:rPr>
          <w:rFonts w:hint="eastAsia" w:hAnsi="宋体"/>
          <w:sz w:val="24"/>
        </w:rPr>
        <w:t xml:space="preserve">、</w:t>
      </w:r>
      <w:r>
        <w:rPr>
          <w:rFonts w:hAnsi="宋体"/>
          <w:sz w:val="24"/>
        </w:rPr>
        <w:t xml:space="preserve">江苏省震泽中学(思贤路)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2080年10月08日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花园路</w:t>
      </w:r>
      <w:r>
        <w:rPr>
          <w:rFonts w:hint="eastAsia" w:ascii="宋体" w:hAnsi="宋体"/>
          <w:sz w:val="24"/>
        </w:rPr>
        <w:t xml:space="preserve">，南至</w:t>
      </w:r>
      <w:r>
        <w:rPr>
          <w:rFonts w:ascii="宋体" w:hAnsi="宋体"/>
          <w:sz w:val="24"/>
        </w:rPr>
        <w:t xml:space="preserve">长板路</w:t>
      </w:r>
      <w:r>
        <w:rPr>
          <w:rFonts w:hint="eastAsia" w:ascii="宋体" w:hAnsi="宋体"/>
          <w:sz w:val="24"/>
        </w:rPr>
        <w:t xml:space="preserve">，西至</w:t>
      </w:r>
      <w:r>
        <w:rPr>
          <w:rFonts w:ascii="宋体" w:hAnsi="宋体"/>
          <w:sz w:val="24"/>
        </w:rPr>
        <w:t xml:space="preserve">万宝商务广场</w:t>
      </w:r>
      <w:r>
        <w:rPr>
          <w:rFonts w:hint="eastAsia" w:ascii="宋体" w:hAnsi="宋体"/>
          <w:sz w:val="24"/>
        </w:rPr>
        <w:t xml:space="preserve">，北至</w:t>
      </w:r>
      <w:r>
        <w:rPr>
          <w:rFonts w:ascii="宋体" w:hAnsi="宋体"/>
          <w:sz w:val="24"/>
        </w:rPr>
        <w:t xml:space="preserve">安惠路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估价对象为坐落于苏州市吴江区长安花园</w:t>
      </w:r>
      <w:r>
        <w:t xml:space="preserve"> </w:t>
      </w:r>
      <w:r>
        <w:rPr>
          <w:rFonts w:ascii="宋体" w:hAnsi="宋体"/>
          <w:kern w:val="2"/>
          <w:sz w:val="24"/>
        </w:rPr>
        <w:t xml:space="preserve">10幢102室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355.32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五室两厅四卫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估价对象建成于2013年，基础较为稳固，未见沉降；墙面、地面、门窗等保养完好，综合保养成新度为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长安花园住宅2024年12月挂牌均价16008元/平方米，较年初持平。待评估二手房住宅近10个月（2024年03月-2024年12月）挂牌均价波动幅度较小，价格维持在16008-18202元/平方米之间。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苏州市吴江区长安花园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F32050920240011830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F32050920240035132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s202406070018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s202403280019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吴江区松陵镇长安花园10幢102室联排住宅标准房基准价格评估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苏河鼎城25幢105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中粮本园南区1795号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维纳恩湖127号102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维纳恩湖131号102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355.32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275.07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263.65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263.65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2024年12月02日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22031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23819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指数，吴江区2023年12月至2024年11月住宅月度价格指数表为：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2024年11月02日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2024年07月</w:t>
            </w:r>
          </w:p>
        </w:tc>
        <w:tc>
          <w:tcPr>
            <w:tcW w:w="779" w:type="pct"/>
            <w:shd w:val="clear" w:color="auto" w:fill="FFFFFF"/>
            <w:vAlign w:val="center"/>
          </w:tcPr>
          <w:p>
            <w:pPr>
              <w:jc w:val="center"/>
            </w:pPr>
            <w:r>
              <w:rPr>
                <w:rFonts w:hint="eastAsia" w:ascii="宋体" w:hAnsi="宋体" w:cs="宋体"/>
              </w:rPr>
              <w:t xml:space="preserve">2024年06月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22031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23764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23706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23819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1912</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1917</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1912/1912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w:t>
            </w:r>
          </w:p>
        </w:tc>
        <w:tc>
          <w:tcPr>
            <w:tcW w:w="779" w:type="pct"/>
            <w:shd w:val="clear" w:color="auto" w:fill="FFFFFF"/>
            <w:vAlign w:val="center"/>
          </w:tcPr>
          <w:p>
            <w:pPr>
              <w:jc w:val="center"/>
            </w:pPr>
            <w:r>
              <w:rPr>
                <w:rFonts w:hint="eastAsia" w:ascii="宋体" w:hAnsi="宋体" w:cs="宋体"/>
              </w:rPr>
              <w:t xml:space="preserve">0.997</w:t>
            </w:r>
          </w:p>
        </w:tc>
        <w:tc>
          <w:tcPr>
            <w:tcW w:w="779"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备注：在价值时点2024年12月02日</w:t>
      </w:r>
      <w:r>
        <w:rPr>
          <w:rFonts w:hint="eastAsia" w:ascii="宋体" w:hAnsi="宋体" w:cs="宋体"/>
          <w:sz w:val="24"/>
          <w:szCs w:val="24"/>
        </w:rPr>
        <w:t xml:space="preserve">，2024年12月份价格指数尚未公布，本次估价采用2024年11月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40060008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吴江区松陵镇长安花园10幢102室联排住宅标准房基准价格评估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苏河鼎城25幢105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中粮本园南区1795号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维纳恩湖127号102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维纳恩湖131号102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355.32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275.07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263.65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263.65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1.0347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22031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23764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23819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21474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24284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23907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22031</w:t>
            </w:r>
          </w:p>
        </w:tc>
        <w:tc>
          <w:tcPr>
            <w:tcW w:w="922" w:type="pct"/>
            <w:shd w:val="clear" w:color="auto" w:fill="auto"/>
            <w:vAlign w:val="center"/>
          </w:tcPr>
          <w:p>
            <w:pPr>
              <w:jc w:val="center"/>
              <w:rPr>
                <w:rFonts w:ascii="宋体" w:hAnsi="宋体" w:cs="宋体"/>
              </w:rPr>
            </w:pPr>
            <w:r>
              <w:rPr>
                <w:rFonts w:hint="eastAsia" w:ascii="宋体" w:hAnsi="宋体" w:cs="宋体"/>
              </w:rPr>
              <w:t xml:space="preserve">23764</w:t>
            </w:r>
          </w:p>
        </w:tc>
        <w:tc>
          <w:tcPr>
            <w:tcW w:w="922" w:type="pct"/>
            <w:shd w:val="clear" w:color="auto" w:fill="auto"/>
            <w:vAlign w:val="center"/>
          </w:tcPr>
          <w:p>
            <w:pPr>
              <w:jc w:val="center"/>
              <w:rPr>
                <w:rFonts w:ascii="宋体" w:hAnsi="宋体" w:cs="宋体"/>
              </w:rPr>
            </w:pPr>
            <w:r>
              <w:rPr>
                <w:rFonts w:hint="eastAsia" w:ascii="宋体" w:hAnsi="宋体" w:cs="宋体"/>
              </w:rPr>
              <w:t xml:space="preserve">23706</w:t>
            </w:r>
          </w:p>
        </w:tc>
        <w:tc>
          <w:tcPr>
            <w:tcW w:w="922" w:type="pct"/>
            <w:shd w:val="clear" w:color="auto" w:fill="auto"/>
            <w:vAlign w:val="center"/>
          </w:tcPr>
          <w:p>
            <w:pPr>
              <w:jc w:val="center"/>
              <w:rPr>
                <w:rFonts w:ascii="宋体" w:hAnsi="宋体" w:cs="宋体"/>
              </w:rPr>
            </w:pPr>
            <w:r>
              <w:rPr>
                <w:rFonts w:hint="eastAsia" w:ascii="宋体" w:hAnsi="宋体" w:cs="宋体"/>
              </w:rPr>
              <w:t xml:space="preserve">23819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21474</w:t>
            </w:r>
          </w:p>
        </w:tc>
        <w:tc>
          <w:tcPr>
            <w:tcW w:w="922" w:type="pct"/>
            <w:shd w:val="clear" w:color="auto" w:fill="auto"/>
            <w:vAlign w:val="center"/>
          </w:tcPr>
          <w:p>
            <w:pPr>
              <w:jc w:val="center"/>
              <w:rPr>
                <w:rFonts w:ascii="宋体" w:hAnsi="宋体" w:cs="宋体"/>
              </w:rPr>
            </w:pPr>
            <w:r>
              <w:rPr>
                <w:rFonts w:hint="eastAsia" w:ascii="宋体" w:hAnsi="宋体" w:cs="宋体"/>
              </w:rPr>
              <w:t xml:space="preserve">22678</w:t>
            </w:r>
          </w:p>
        </w:tc>
        <w:tc>
          <w:tcPr>
            <w:tcW w:w="922" w:type="pct"/>
            <w:shd w:val="clear" w:color="auto" w:fill="auto"/>
            <w:vAlign w:val="center"/>
          </w:tcPr>
          <w:p>
            <w:pPr>
              <w:jc w:val="center"/>
              <w:rPr>
                <w:rFonts w:ascii="宋体" w:hAnsi="宋体" w:cs="宋体"/>
              </w:rPr>
            </w:pPr>
            <w:r>
              <w:rPr>
                <w:rFonts w:hint="eastAsia" w:ascii="宋体" w:hAnsi="宋体" w:cs="宋体"/>
              </w:rPr>
              <w:t xml:space="preserve">24284</w:t>
            </w:r>
          </w:p>
        </w:tc>
        <w:tc>
          <w:tcPr>
            <w:tcW w:w="922" w:type="pct"/>
            <w:shd w:val="clear" w:color="auto" w:fill="auto"/>
            <w:vAlign w:val="center"/>
          </w:tcPr>
          <w:p>
            <w:pPr>
              <w:jc w:val="center"/>
              <w:rPr>
                <w:rFonts w:ascii="宋体" w:hAnsi="宋体" w:cs="宋体"/>
              </w:rPr>
            </w:pPr>
            <w:r>
              <w:rPr>
                <w:rFonts w:hint="eastAsia" w:ascii="宋体" w:hAnsi="宋体" w:cs="宋体"/>
              </w:rPr>
              <w:t xml:space="preserve">23907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21474</w:t>
            </w:r>
          </w:p>
        </w:tc>
        <w:tc>
          <w:tcPr>
            <w:tcW w:w="922" w:type="pct"/>
            <w:shd w:val="clear" w:color="auto" w:fill="auto"/>
            <w:vAlign w:val="center"/>
          </w:tcPr>
          <w:p>
            <w:pPr>
              <w:jc w:val="center"/>
              <w:rPr>
                <w:rFonts w:ascii="宋体" w:hAnsi="宋体" w:cs="宋体"/>
              </w:rPr>
            </w:pPr>
            <w:r>
              <w:rPr>
                <w:rFonts w:hint="eastAsia" w:ascii="宋体" w:hAnsi="宋体" w:cs="宋体"/>
              </w:rPr>
              <w:t xml:space="preserve">22678</w:t>
            </w:r>
          </w:p>
        </w:tc>
        <w:tc>
          <w:tcPr>
            <w:tcW w:w="922" w:type="pct"/>
            <w:shd w:val="clear" w:color="auto" w:fill="auto"/>
            <w:vAlign w:val="center"/>
          </w:tcPr>
          <w:p>
            <w:pPr>
              <w:jc w:val="center"/>
              <w:rPr>
                <w:rFonts w:ascii="宋体" w:hAnsi="宋体" w:cs="宋体"/>
              </w:rPr>
            </w:pPr>
            <w:r>
              <w:rPr>
                <w:rFonts w:hint="eastAsia" w:ascii="宋体" w:hAnsi="宋体" w:cs="宋体"/>
              </w:rPr>
              <w:t xml:space="preserve">24284</w:t>
            </w:r>
          </w:p>
        </w:tc>
        <w:tc>
          <w:tcPr>
            <w:tcW w:w="922" w:type="pct"/>
            <w:shd w:val="clear" w:color="auto" w:fill="auto"/>
            <w:vAlign w:val="center"/>
          </w:tcPr>
          <w:p>
            <w:pPr>
              <w:jc w:val="center"/>
              <w:rPr>
                <w:rFonts w:ascii="宋体" w:hAnsi="宋体" w:cs="宋体"/>
              </w:rPr>
            </w:pPr>
            <w:r>
              <w:rPr>
                <w:rFonts w:hint="eastAsia" w:ascii="宋体" w:hAnsi="宋体" w:cs="宋体"/>
              </w:rPr>
              <w:t xml:space="preserve">23907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23086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F32050920240011830</w:t>
            </w:r>
          </w:p>
        </w:tc>
        <w:tc>
          <w:tcPr>
            <w:tcW w:w="1842" w:type="dxa"/>
            <w:vAlign w:val="center"/>
          </w:tcPr>
          <w:p>
            <w:pPr>
              <w:jc w:val="center"/>
            </w:pPr>
            <w:r>
              <w:rPr>
                <w:rFonts w:hint="eastAsia" w:ascii="宋体" w:hAnsi="宋体" w:cs="宋体"/>
              </w:rPr>
              <w:t xml:space="preserve">F32050920240035132</w:t>
            </w:r>
          </w:p>
        </w:tc>
        <w:tc>
          <w:tcPr>
            <w:tcW w:w="1843" w:type="dxa"/>
            <w:vAlign w:val="center"/>
          </w:tcPr>
          <w:p>
            <w:pPr>
              <w:jc w:val="center"/>
            </w:pPr>
            <w:r>
              <w:rPr>
                <w:rFonts w:hint="eastAsia" w:ascii="宋体" w:hAnsi="宋体" w:cs="宋体"/>
              </w:rPr>
              <w:t xml:space="preserve">s202406070018</w:t>
            </w:r>
          </w:p>
        </w:tc>
        <w:tc>
          <w:tcPr>
            <w:tcW w:w="1985" w:type="dxa"/>
            <w:vAlign w:val="center"/>
          </w:tcPr>
          <w:p>
            <w:pPr>
              <w:jc w:val="center"/>
            </w:pPr>
            <w:r>
              <w:rPr>
                <w:rFonts w:hint="eastAsia" w:ascii="宋体" w:hAnsi="宋体" w:cs="宋体"/>
              </w:rPr>
              <w:t xml:space="preserve">s202403280019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苏河鼎城25幢105</w:t>
            </w:r>
          </w:p>
        </w:tc>
        <w:tc>
          <w:tcPr>
            <w:tcW w:w="1842" w:type="dxa"/>
            <w:vAlign w:val="center"/>
          </w:tcPr>
          <w:p>
            <w:pPr>
              <w:jc w:val="center"/>
            </w:pPr>
            <w:r>
              <w:rPr>
                <w:rFonts w:hint="eastAsia" w:ascii="宋体" w:hAnsi="宋体" w:cs="宋体"/>
              </w:rPr>
              <w:t xml:space="preserve">中粮本园南区1795号</w:t>
            </w:r>
          </w:p>
        </w:tc>
        <w:tc>
          <w:tcPr>
            <w:tcW w:w="1843" w:type="dxa"/>
            <w:vAlign w:val="center"/>
          </w:tcPr>
          <w:p>
            <w:pPr>
              <w:jc w:val="center"/>
            </w:pPr>
            <w:r>
              <w:rPr>
                <w:rFonts w:hint="eastAsia" w:ascii="宋体" w:hAnsi="宋体" w:cs="宋体"/>
              </w:rPr>
              <w:t xml:space="preserve">维纳恩湖127号102</w:t>
            </w:r>
          </w:p>
        </w:tc>
        <w:tc>
          <w:tcPr>
            <w:tcW w:w="1985" w:type="dxa"/>
            <w:vAlign w:val="center"/>
          </w:tcPr>
          <w:p>
            <w:pPr>
              <w:jc w:val="center"/>
            </w:pPr>
            <w:r>
              <w:rPr>
                <w:rFonts w:hint="eastAsia" w:ascii="宋体" w:hAnsi="宋体" w:cs="宋体"/>
              </w:rPr>
              <w:t xml:space="preserve">维纳恩湖131号102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苏河鼎城25幢105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中粮本园南区1795号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维纳恩湖127号102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维纳恩湖131号102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