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苏吴地评税字(2024)吴江第01230号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苏州市吴江区松陵镇</w:t>
      </w:r>
      <w:r>
        <w:rPr>
          <w:rFonts w:ascii="宋体" w:hAnsi="宋体" w:eastAsia="宋体" w:asciiTheme="minorEastAsia" w:hAnsiTheme="minorEastAsia" w:eastAsiaTheme="minorEastAsia"/>
          <w:sz w:val="24"/>
          <w:szCs w:val="24"/>
        </w:rPr>
        <w:t xml:space="preserve">迎松小区普通多层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国家注册房地产估价师：钟原</w:t>
      </w:r>
      <w:r>
        <w:rPr>
          <w:rFonts w:hint="eastAsia" w:ascii="宋体" w:hAnsi="宋体"/>
          <w:sz w:val="24"/>
          <w:szCs w:val="24"/>
        </w:rPr>
        <w:t xml:space="preserve">、注册证号：</w:t>
      </w:r>
      <w:r>
        <w:rPr>
          <w:rFonts w:ascii="宋体" w:hAnsi="宋体"/>
          <w:sz w:val="24"/>
          <w:szCs w:val="24"/>
        </w:rPr>
        <w:t xml:space="preserve">3220150055</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国家注册房地产估价师：林琳</w:t>
      </w:r>
      <w:r>
        <w:rPr>
          <w:rFonts w:hint="eastAsia" w:ascii="宋体" w:hAnsi="宋体"/>
          <w:sz w:val="24"/>
          <w:szCs w:val="24"/>
        </w:rPr>
        <w:t xml:space="preserve">、注册证号：</w:t>
      </w:r>
      <w:r>
        <w:rPr>
          <w:rFonts w:ascii="宋体" w:hAnsi="宋体"/>
          <w:sz w:val="24"/>
          <w:szCs w:val="24"/>
        </w:rPr>
        <w:t xml:space="preserve">3220160029</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2024年12月10日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估价对象位于苏州市吴江区区域范围内的迎松小区住宅小区普通多层存量房。该小区内的物业类型包括：</w:t>
      </w:r>
      <w:r>
        <w:rPr>
          <w:rFonts w:ascii="宋体"/>
          <w:sz w:val="24"/>
        </w:rPr>
        <w:t xml:space="preserve">普通多层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月修订版），结合估价人员现场查勘，选取迎松小区</w:t>
      </w:r>
      <w:r>
        <w:rPr>
          <w:rFonts w:ascii="宋体"/>
          <w:sz w:val="24"/>
        </w:rPr>
        <w:t xml:space="preserve">17幢102室</w:t>
      </w:r>
      <w:r>
        <w:rPr>
          <w:rFonts w:hint="eastAsia" w:ascii="宋体"/>
          <w:sz w:val="24"/>
        </w:rPr>
        <w:t xml:space="preserve">为该小区</w:t>
      </w:r>
      <w:r>
        <w:rPr>
          <w:rFonts w:ascii="宋体"/>
          <w:sz w:val="24"/>
        </w:rPr>
        <w:t xml:space="preserve">砖混结构</w:t>
      </w:r>
      <w:r>
        <w:rPr>
          <w:rFonts w:hint="eastAsia" w:ascii="宋体"/>
          <w:sz w:val="24"/>
        </w:rPr>
        <w:t xml:space="preserve">普通多层的标准样本房，所在楼层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5</w:t>
      </w:r>
      <w:r>
        <w:rPr>
          <w:rFonts w:hint="eastAsia" w:ascii="宋体"/>
          <w:sz w:val="24"/>
        </w:rPr>
        <w:t xml:space="preserve">层，建筑面积</w:t>
      </w:r>
      <w:r>
        <w:rPr>
          <w:rFonts w:ascii="宋体"/>
          <w:sz w:val="24"/>
        </w:rPr>
        <w:t xml:space="preserve">103.45</w:t>
      </w:r>
      <w:r>
        <w:rPr>
          <w:rFonts w:hint="eastAsia" w:ascii="宋体"/>
          <w:sz w:val="24"/>
        </w:rPr>
        <w:t xml:space="preserve">平方米，南北朝向，</w:t>
      </w:r>
      <w:r>
        <w:rPr>
          <w:rFonts w:ascii="宋体"/>
          <w:sz w:val="24"/>
        </w:rPr>
        <w:t xml:space="preserve">中间户，砖混结构</w:t>
      </w:r>
      <w:r>
        <w:rPr>
          <w:rFonts w:hint="eastAsia" w:ascii="宋体"/>
          <w:sz w:val="24"/>
        </w:rPr>
        <w:t xml:space="preserve">，设计用途为成套住宅，建成于</w:t>
      </w:r>
      <w:r>
        <w:rPr>
          <w:rFonts w:ascii="宋体"/>
          <w:sz w:val="24"/>
        </w:rPr>
        <w:t xml:space="preserve">1993</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1999年09月09日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2024年12月02日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2024年12月02日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柒仟肆佰伍拾叁元整</w:t>
      </w:r>
      <w:r>
        <w:rPr>
          <w:rFonts w:hint="eastAsia" w:ascii="宋体" w:hAnsi="宋体"/>
          <w:b/>
          <w:bCs/>
          <w:sz w:val="24"/>
        </w:rPr>
        <w:t xml:space="preserve">（RMB</w:t>
      </w:r>
      <w:r>
        <w:rPr>
          <w:rFonts w:ascii="宋体" w:hAnsi="宋体"/>
          <w:b/>
          <w:bCs/>
          <w:sz w:val="24"/>
        </w:rPr>
        <w:t xml:space="preserve"> 7453</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2024年12月10日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2024年12月10日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532675903" w:id="2"/>
      <w:bookmarkStart w:name="_Toc32222391"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2024年12月10日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2024年12月10日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5.本报告作为整体使用时有效。若房地产市场无重大波动，本估价报告自出具日起一年内有效，从2024年12月10日至</w:t>
      </w:r>
      <w:r>
        <w:rPr>
          <w:rFonts w:ascii="宋体" w:hAnsi="宋体"/>
          <w:sz w:val="24"/>
        </w:rPr>
        <w:t xml:space="preserve">2025年12月09日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估价对象为迎松小区</w:t>
      </w:r>
      <w:r>
        <w:rPr>
          <w:rFonts w:ascii="宋体" w:hAnsi="宋体"/>
          <w:sz w:val="24"/>
        </w:rPr>
        <w:t xml:space="preserve">17幢102室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弄堂西侧</w:t>
      </w:r>
      <w:r>
        <w:rPr>
          <w:rFonts w:hint="eastAsia" w:hAnsi="宋体"/>
          <w:sz w:val="24"/>
        </w:rPr>
        <w:t xml:space="preserve">的“迎松小区”住宅区内。</w:t>
      </w:r>
      <w:r>
        <w:rPr>
          <w:rFonts w:hint="eastAsia" w:ascii="宋体" w:hAnsi="宋体"/>
          <w:sz w:val="24"/>
        </w:rPr>
        <w:t xml:space="preserve">估价对象东至</w:t>
      </w:r>
      <w:r>
        <w:rPr>
          <w:rFonts w:ascii="宋体" w:hAnsi="宋体"/>
          <w:sz w:val="24"/>
          <w:szCs w:val="24"/>
        </w:rPr>
        <w:t xml:space="preserve">弄堂</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油车路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西塘河路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小路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103.45</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弄堂西侧</w:t>
      </w:r>
      <w:r>
        <w:rPr>
          <w:rFonts w:hint="eastAsia" w:hAnsi="宋体"/>
          <w:sz w:val="24"/>
        </w:rPr>
        <w:t xml:space="preserve">的“迎松小区”住宅区内。该小区内的物业类型包括：</w:t>
      </w:r>
      <w:r>
        <w:rPr>
          <w:rFonts w:hAnsi="宋体"/>
          <w:sz w:val="24"/>
        </w:rPr>
        <w:t xml:space="preserve">普通多层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迎松小区</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“迎松小区”小区</w:t>
            </w:r>
            <w:r>
              <w:rPr>
                <w:rFonts w:ascii="Cambria" w:hAnsi="宋体" w:eastAsia="黑体" w:cs="Times New Roman" w:asciiTheme="majorHAnsi" w:cstheme="majorBidi"/>
                <w:sz w:val="15"/>
                <w:szCs w:val="15"/>
              </w:rPr>
              <w:t xml:space="preserve">17幢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由于迎松小区市场交易不活跃，片区内可选案例较少，因此选择的案例A，B，C，D，距离在3公里以外。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迎松小区住宅2024年12月挂牌均价11600元/平方米，较年初持平。待评估二手房住宅近10个月（2024年03月-2024年12月）挂牌均价波动幅度较小，价格维持在11600-12556元/平方米之间。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均价说明：迎松小区小区物业类型包括：普通多层,房源均价为:11600元/平方米，包含毛坯价值以及附带装修价值。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该房屋为5层住宅楼的第1层，建于1993年，</w:t>
      </w:r>
      <w:r>
        <w:rPr>
          <w:rFonts w:ascii="宋体" w:hAnsi="宋体"/>
          <w:sz w:val="24"/>
        </w:rPr>
        <w:t xml:space="preserve">砖混结构</w:t>
      </w:r>
      <w:r>
        <w:rPr>
          <w:rFonts w:hint="eastAsia" w:ascii="宋体" w:hAnsi="宋体"/>
          <w:sz w:val="24"/>
        </w:rPr>
        <w:t xml:space="preserve">，南北朝向，建筑面积为</w:t>
      </w:r>
      <w:r>
        <w:rPr>
          <w:rFonts w:ascii="宋体" w:hAnsi="宋体"/>
          <w:sz w:val="24"/>
        </w:rPr>
        <w:t xml:space="preserve">103.45</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1999年09月09日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2024年12月02日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柒仟肆佰伍拾叁元整</w:t>
      </w:r>
      <w:r>
        <w:rPr>
          <w:rFonts w:hint="eastAsia" w:ascii="宋体" w:hAnsi="宋体"/>
          <w:b/>
          <w:bCs/>
          <w:sz w:val="24"/>
        </w:rPr>
        <w:t xml:space="preserve">（RMB </w:t>
      </w:r>
      <w:r>
        <w:rPr>
          <w:rFonts w:ascii="宋体" w:hAnsi="宋体"/>
          <w:b/>
          <w:bCs/>
          <w:sz w:val="24"/>
        </w:rPr>
        <w:t xml:space="preserve">7453</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77.10</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7453</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2024年12月10日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2024年12月10日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本次实地查勘期为2024年12月02日，并于当日完成现场查勘。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2024年12月02日</w:t>
      </w:r>
      <w:r>
        <w:rPr>
          <w:rFonts w:hint="eastAsia" w:ascii="宋体"/>
          <w:sz w:val="24"/>
        </w:rPr>
        <w:t xml:space="preserve">至2024年12月10日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估价对象为苏州市吴江区“迎松小区”住宅区内的</w:t>
      </w:r>
      <w:r>
        <w:rPr>
          <w:rFonts w:hAnsi="宋体"/>
          <w:sz w:val="24"/>
        </w:rPr>
        <w:t xml:space="preserve">普通多层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位于西塘河路东侧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西塘河路东侧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附近有707路、733路等多条公交线路</w:t>
      </w:r>
      <w:r>
        <w:rPr>
          <w:rFonts w:hint="eastAsia" w:hAnsi="宋体"/>
          <w:sz w:val="24"/>
        </w:rPr>
        <w:t xml:space="preserve">，</w:t>
      </w:r>
      <w:r>
        <w:rPr>
          <w:rFonts w:hAnsi="宋体"/>
          <w:sz w:val="24"/>
        </w:rPr>
        <w:t xml:space="preserve">至公交站点的距离约为50米，公交班次平均隔10分钟有一辆汽车通过。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沃尔玛(吴江店)</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中国工商银行 </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西门农贸市场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天和幼儿园</w:t>
      </w:r>
      <w:r>
        <w:rPr>
          <w:rFonts w:hint="eastAsia" w:ascii="宋体" w:hAnsi="宋体" w:eastAsia="宋体" w:asciiTheme="minorEastAsia" w:hAnsiTheme="minorEastAsia" w:eastAsiaTheme="minorEastAsia"/>
          <w:sz w:val="24"/>
        </w:rPr>
        <w:t xml:space="preserve">、</w:t>
      </w:r>
      <w:r>
        <w:rPr>
          <w:rFonts w:hAnsi="宋体"/>
          <w:sz w:val="24"/>
        </w:rPr>
        <w:t xml:space="preserve">天和小学</w:t>
      </w:r>
      <w:r>
        <w:rPr>
          <w:rFonts w:hint="eastAsia" w:hAnsi="宋体"/>
          <w:sz w:val="24"/>
        </w:rPr>
        <w:t xml:space="preserve">、</w:t>
      </w:r>
      <w:r>
        <w:rPr>
          <w:rFonts w:hAnsi="宋体"/>
          <w:sz w:val="24"/>
        </w:rPr>
        <w:t xml:space="preserve">松陵第一中学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1999年09月09日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弄堂</w:t>
      </w:r>
      <w:r>
        <w:rPr>
          <w:rFonts w:hint="eastAsia" w:ascii="宋体" w:hAnsi="宋体"/>
          <w:sz w:val="24"/>
        </w:rPr>
        <w:t xml:space="preserve">，南至</w:t>
      </w:r>
      <w:r>
        <w:rPr>
          <w:rFonts w:ascii="宋体" w:hAnsi="宋体"/>
          <w:sz w:val="24"/>
        </w:rPr>
        <w:t xml:space="preserve">油车路</w:t>
      </w:r>
      <w:r>
        <w:rPr>
          <w:rFonts w:hint="eastAsia" w:ascii="宋体" w:hAnsi="宋体"/>
          <w:sz w:val="24"/>
        </w:rPr>
        <w:t xml:space="preserve">，西至</w:t>
      </w:r>
      <w:r>
        <w:rPr>
          <w:rFonts w:ascii="宋体" w:hAnsi="宋体"/>
          <w:sz w:val="24"/>
        </w:rPr>
        <w:t xml:space="preserve">西塘河路</w:t>
      </w:r>
      <w:r>
        <w:rPr>
          <w:rFonts w:hint="eastAsia" w:ascii="宋体" w:hAnsi="宋体"/>
          <w:sz w:val="24"/>
        </w:rPr>
        <w:t xml:space="preserve">，北至</w:t>
      </w:r>
      <w:r>
        <w:rPr>
          <w:rFonts w:ascii="宋体" w:hAnsi="宋体"/>
          <w:sz w:val="24"/>
        </w:rPr>
        <w:t xml:space="preserve">小路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估价对象为坐落于苏州市吴江区迎松小区</w:t>
      </w:r>
      <w:r>
        <w:t xml:space="preserve"> </w:t>
      </w:r>
      <w:r>
        <w:rPr>
          <w:rFonts w:ascii="宋体" w:hAnsi="宋体"/>
          <w:kern w:val="2"/>
          <w:sz w:val="24"/>
        </w:rPr>
        <w:t xml:space="preserve">17幢102室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估价对象为普通多层建筑，建筑面积为</w:t>
      </w:r>
      <w:r>
        <w:rPr>
          <w:rFonts w:hAnsi="宋体"/>
          <w:sz w:val="24"/>
        </w:rPr>
        <w:t xml:space="preserve">103.45</w:t>
      </w:r>
      <w:r>
        <w:rPr>
          <w:rFonts w:hint="eastAsia" w:hAnsi="宋体"/>
          <w:sz w:val="24"/>
        </w:rPr>
        <w:t xml:space="preserve">㎡，</w:t>
      </w:r>
      <w:r>
        <w:rPr>
          <w:rFonts w:hAnsi="宋体"/>
          <w:sz w:val="24"/>
        </w:rPr>
        <w:t xml:space="preserve">砖混结构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3层数、层高：估价对象位于总楼层为5层的第1层，层高约2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三室两厅一卫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全封闭式物业管理，24小时有保安巡逻及监控系统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估价对象建成于1993年，基础较为稳固，未见沉降；墙面、地面、门窗等保养完好，综合保养成新度为</w:t>
      </w:r>
      <w:r>
        <w:rPr>
          <w:rFonts w:hAnsi="宋体"/>
          <w:sz w:val="24"/>
        </w:rPr>
        <w:t xml:space="preserve">七成新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1.1</w:t>
      </w:r>
      <w:r>
        <w:rPr>
          <w:rFonts w:hint="eastAsia"/>
          <w:color w:val="000000" w:themeColor="text1"/>
          <w:kern w:val="2"/>
          <w:sz w:val="24"/>
          <w:szCs w:val="24"/>
          <w14:textFill>
            <w14:solidFill>
              <w14:schemeClr w14:val="tx1"/>
            </w14:solidFill>
          </w14:textFill>
        </w:rPr>
        <w:t xml:space="preserve">吴江区经济结构</w:t>
      </w:r>
    </w:p>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6685" w:id="10"/>
      <w:bookmarkStart w:name="_Hlk159245597" w:id="11"/>
      <w:r>
        <w:rPr>
          <w:color w:val="000000" w:themeColor="text1"/>
          <w:kern w:val="2"/>
          <w:sz w:val="24"/>
          <w:szCs w:val="24"/>
          <w14:textFill>
            <w14:solidFill>
              <w14:schemeClr w14:val="tx1"/>
            </w14:solidFill>
          </w14:textFill>
        </w:rPr>
        <w:t xml:space="preserve">2023年，吴江区实现地区生产总值2377.28亿元，按不变价格计算，比上年增长4.2%，增速较2022年提升1.9个百分点，总量和增速分别列大市第5和第6</w:t>
      </w:r>
      <w:bookmarkEnd w:id="10"/>
      <w:r>
        <w:rPr>
          <w:color w:val="000000" w:themeColor="text1"/>
          <w:kern w:val="2"/>
          <w:sz w:val="24"/>
          <w:szCs w:val="24"/>
          <w14:textFill>
            <w14:solidFill>
              <w14:schemeClr w14:val="tx1"/>
            </w14:solidFill>
          </w14:textFill>
        </w:rPr>
        <w:t xml:space="preserve">。对吴江区近5年来实现地区生产总值收入情况进行了数据分析，具体详见下表</w:t>
      </w:r>
      <w:bookmarkEnd w:id="11"/>
      <w:r>
        <w:rPr>
          <w:color w:val="000000" w:themeColor="text1"/>
          <w:kern w:val="2"/>
          <w:sz w:val="24"/>
          <w:szCs w:val="24"/>
          <w14:textFill>
            <w14:solidFill>
              <w14:schemeClr w14:val="tx1"/>
            </w14:solidFill>
          </w14:textFill>
        </w:rPr>
        <w:t xml:space="preserve">：</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1</w:t>
      </w:r>
      <w:r>
        <w:rPr>
          <w:rFonts w:ascii="宋体" w:hAnsi="宋体"/>
          <w:b/>
          <w:bCs/>
          <w:sz w:val="24"/>
          <w:szCs w:val="24"/>
        </w:rPr>
        <w:fldChar w:fldCharType="end"/>
      </w:r>
      <w:r>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3070"/>
        <w:gridCol w:w="1002"/>
        <w:gridCol w:w="985"/>
        <w:gridCol w:w="1045"/>
        <w:gridCol w:w="992"/>
        <w:gridCol w:w="1223"/>
      </w:tblGrid>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tblHeader/>
          <w:jc w:val="center"/>
        </w:trPr>
        <w:tc>
          <w:tcPr>
            <w:tcW w:w="1846" w:type="pct"/>
            <w:vAlign w:val="center"/>
          </w:tcPr>
          <w:p>
            <w:pPr>
              <w:spacing w:line="240" w:lineRule="atLeast"/>
              <w:jc w:val="center"/>
              <w:rPr>
                <w:b/>
                <w:bCs/>
                <w:sz w:val="21"/>
                <w:szCs w:val="21"/>
              </w:rPr>
            </w:pPr>
            <w:r>
              <w:rPr>
                <w:b/>
                <w:bCs/>
                <w:sz w:val="21"/>
                <w:szCs w:val="21"/>
              </w:rPr>
              <w:t xml:space="preserve">类别</w:t>
            </w:r>
          </w:p>
        </w:tc>
        <w:tc>
          <w:tcPr>
            <w:tcW w:w="602" w:type="pct"/>
            <w:vAlign w:val="center"/>
          </w:tcPr>
          <w:p>
            <w:pPr>
              <w:spacing w:line="240" w:lineRule="atLeast"/>
              <w:jc w:val="center"/>
              <w:rPr>
                <w:b/>
                <w:bCs/>
                <w:sz w:val="21"/>
                <w:szCs w:val="21"/>
              </w:rPr>
            </w:pPr>
            <w:r>
              <w:rPr>
                <w:b/>
                <w:bCs/>
                <w:sz w:val="21"/>
                <w:szCs w:val="21"/>
              </w:rPr>
              <w:t xml:space="preserve">2019年</w:t>
            </w:r>
          </w:p>
        </w:tc>
        <w:tc>
          <w:tcPr>
            <w:tcW w:w="592" w:type="pct"/>
            <w:vAlign w:val="center"/>
          </w:tcPr>
          <w:p>
            <w:pPr>
              <w:spacing w:line="240" w:lineRule="atLeast"/>
              <w:jc w:val="center"/>
              <w:rPr>
                <w:b/>
                <w:bCs/>
                <w:sz w:val="21"/>
                <w:szCs w:val="21"/>
              </w:rPr>
            </w:pPr>
            <w:r>
              <w:rPr>
                <w:b/>
                <w:bCs/>
                <w:sz w:val="21"/>
                <w:szCs w:val="21"/>
              </w:rPr>
              <w:t xml:space="preserve">2020年</w:t>
            </w:r>
          </w:p>
        </w:tc>
        <w:tc>
          <w:tcPr>
            <w:tcW w:w="628" w:type="pct"/>
            <w:vAlign w:val="center"/>
          </w:tcPr>
          <w:p>
            <w:pPr>
              <w:spacing w:line="240" w:lineRule="atLeast"/>
              <w:jc w:val="center"/>
              <w:rPr>
                <w:b/>
                <w:bCs/>
                <w:sz w:val="21"/>
                <w:szCs w:val="21"/>
              </w:rPr>
            </w:pPr>
            <w:r>
              <w:rPr>
                <w:b/>
                <w:bCs/>
                <w:sz w:val="21"/>
                <w:szCs w:val="21"/>
              </w:rPr>
              <w:t xml:space="preserve">2021年</w:t>
            </w:r>
          </w:p>
        </w:tc>
        <w:tc>
          <w:tcPr>
            <w:tcW w:w="596" w:type="pct"/>
            <w:vAlign w:val="center"/>
          </w:tcPr>
          <w:p>
            <w:pPr>
              <w:spacing w:line="240" w:lineRule="atLeast"/>
              <w:jc w:val="center"/>
              <w:rPr>
                <w:b/>
                <w:bCs/>
                <w:sz w:val="21"/>
                <w:szCs w:val="21"/>
              </w:rPr>
            </w:pPr>
            <w:r>
              <w:rPr>
                <w:b/>
                <w:bCs/>
                <w:sz w:val="21"/>
                <w:szCs w:val="21"/>
              </w:rPr>
              <w:t xml:space="preserve">2022年</w:t>
            </w:r>
          </w:p>
        </w:tc>
        <w:tc>
          <w:tcPr>
            <w:tcW w:w="735" w:type="pct"/>
            <w:vAlign w:val="center"/>
          </w:tcPr>
          <w:p>
            <w:pPr>
              <w:spacing w:line="240" w:lineRule="atLeast"/>
              <w:jc w:val="center"/>
              <w:rPr>
                <w:b/>
                <w:bCs/>
                <w:sz w:val="21"/>
                <w:szCs w:val="21"/>
              </w:rPr>
            </w:pPr>
            <w:r>
              <w:rPr>
                <w:b/>
                <w:bCs/>
                <w:sz w:val="21"/>
                <w:szCs w:val="21"/>
              </w:rPr>
              <w:t xml:space="preserve">2023年</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全区实现地区生产总值（亿元）</w:t>
            </w:r>
          </w:p>
        </w:tc>
        <w:tc>
          <w:tcPr>
            <w:tcW w:w="602" w:type="pct"/>
            <w:vAlign w:val="center"/>
          </w:tcPr>
          <w:p>
            <w:pPr>
              <w:spacing w:line="240" w:lineRule="atLeast"/>
              <w:jc w:val="center"/>
              <w:rPr>
                <w:sz w:val="21"/>
                <w:szCs w:val="21"/>
              </w:rPr>
            </w:pPr>
            <w:r>
              <w:rPr>
                <w:sz w:val="21"/>
                <w:szCs w:val="21"/>
              </w:rPr>
              <w:t xml:space="preserve">1958.16</w:t>
            </w:r>
          </w:p>
        </w:tc>
        <w:tc>
          <w:tcPr>
            <w:tcW w:w="592" w:type="pct"/>
            <w:vAlign w:val="center"/>
          </w:tcPr>
          <w:p>
            <w:pPr>
              <w:spacing w:line="240" w:lineRule="atLeast"/>
              <w:jc w:val="center"/>
              <w:rPr>
                <w:sz w:val="21"/>
                <w:szCs w:val="21"/>
              </w:rPr>
            </w:pPr>
            <w:r>
              <w:rPr>
                <w:sz w:val="21"/>
                <w:szCs w:val="21"/>
              </w:rPr>
              <w:t xml:space="preserve">2002.83</w:t>
            </w:r>
          </w:p>
        </w:tc>
        <w:tc>
          <w:tcPr>
            <w:tcW w:w="628" w:type="pct"/>
            <w:vAlign w:val="center"/>
          </w:tcPr>
          <w:p>
            <w:pPr>
              <w:spacing w:line="240" w:lineRule="atLeast"/>
              <w:jc w:val="center"/>
              <w:rPr>
                <w:sz w:val="21"/>
                <w:szCs w:val="21"/>
              </w:rPr>
            </w:pPr>
            <w:r>
              <w:rPr>
                <w:sz w:val="21"/>
                <w:szCs w:val="21"/>
              </w:rPr>
              <w:t xml:space="preserve">2224.53</w:t>
            </w:r>
          </w:p>
        </w:tc>
        <w:tc>
          <w:tcPr>
            <w:tcW w:w="596" w:type="pct"/>
            <w:vAlign w:val="center"/>
          </w:tcPr>
          <w:p>
            <w:pPr>
              <w:spacing w:line="240" w:lineRule="atLeast"/>
              <w:jc w:val="center"/>
              <w:rPr>
                <w:sz w:val="21"/>
                <w:szCs w:val="21"/>
              </w:rPr>
            </w:pPr>
            <w:r>
              <w:rPr>
                <w:sz w:val="21"/>
                <w:szCs w:val="21"/>
              </w:rPr>
              <w:t xml:space="preserve">2331.97</w:t>
            </w:r>
          </w:p>
        </w:tc>
        <w:tc>
          <w:tcPr>
            <w:tcW w:w="735" w:type="pct"/>
            <w:vAlign w:val="center"/>
          </w:tcPr>
          <w:p>
            <w:pPr>
              <w:spacing w:line="240" w:lineRule="atLeast"/>
              <w:jc w:val="center"/>
              <w:rPr>
                <w:sz w:val="21"/>
                <w:szCs w:val="21"/>
              </w:rPr>
            </w:pPr>
            <w:r>
              <w:rPr>
                <w:sz w:val="21"/>
                <w:szCs w:val="21"/>
              </w:rPr>
              <w:t xml:space="preserve">2377.28</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比上年同期增长率（%）</w:t>
            </w:r>
          </w:p>
        </w:tc>
        <w:tc>
          <w:tcPr>
            <w:tcW w:w="602" w:type="pct"/>
            <w:vAlign w:val="center"/>
          </w:tcPr>
          <w:p>
            <w:pPr>
              <w:jc w:val="center"/>
              <w:rPr>
                <w:sz w:val="21"/>
                <w:szCs w:val="21"/>
              </w:rPr>
            </w:pPr>
            <w:r>
              <w:rPr>
                <w:sz w:val="21"/>
                <w:szCs w:val="21"/>
              </w:rPr>
              <w:t xml:space="preserve">5.7%</w:t>
            </w:r>
          </w:p>
        </w:tc>
        <w:tc>
          <w:tcPr>
            <w:tcW w:w="592" w:type="pct"/>
            <w:vAlign w:val="center"/>
          </w:tcPr>
          <w:p>
            <w:pPr>
              <w:jc w:val="center"/>
              <w:rPr>
                <w:sz w:val="21"/>
                <w:szCs w:val="21"/>
              </w:rPr>
            </w:pPr>
            <w:r>
              <w:rPr>
                <w:sz w:val="21"/>
                <w:szCs w:val="21"/>
              </w:rPr>
              <w:t xml:space="preserve">0.6%</w:t>
            </w:r>
          </w:p>
        </w:tc>
        <w:tc>
          <w:tcPr>
            <w:tcW w:w="628" w:type="pct"/>
            <w:vAlign w:val="center"/>
          </w:tcPr>
          <w:p>
            <w:pPr>
              <w:jc w:val="center"/>
              <w:rPr>
                <w:sz w:val="21"/>
                <w:szCs w:val="21"/>
              </w:rPr>
            </w:pPr>
            <w:r>
              <w:rPr>
                <w:sz w:val="21"/>
                <w:szCs w:val="21"/>
              </w:rPr>
              <w:t xml:space="preserve">8.0%</w:t>
            </w:r>
          </w:p>
        </w:tc>
        <w:tc>
          <w:tcPr>
            <w:tcW w:w="596" w:type="pct"/>
            <w:vAlign w:val="center"/>
          </w:tcPr>
          <w:p>
            <w:pPr>
              <w:jc w:val="center"/>
              <w:rPr>
                <w:sz w:val="21"/>
                <w:szCs w:val="21"/>
              </w:rPr>
            </w:pPr>
            <w:r>
              <w:rPr>
                <w:sz w:val="21"/>
                <w:szCs w:val="21"/>
              </w:rPr>
              <w:t xml:space="preserve">2.3%</w:t>
            </w:r>
          </w:p>
        </w:tc>
        <w:tc>
          <w:tcPr>
            <w:tcW w:w="735" w:type="pct"/>
            <w:vAlign w:val="center"/>
          </w:tcPr>
          <w:p>
            <w:pPr>
              <w:jc w:val="center"/>
              <w:rPr>
                <w:sz w:val="21"/>
                <w:szCs w:val="21"/>
              </w:rPr>
            </w:pPr>
            <w:r>
              <w:rPr>
                <w:sz w:val="21"/>
                <w:szCs w:val="21"/>
              </w:rPr>
              <w:t xml:space="preserve">4.2%</w:t>
            </w:r>
          </w:p>
        </w:tc>
      </w:tr>
    </w:tbl>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5619" w:id="12"/>
      <w:r>
        <w:rPr>
          <w:color w:val="000000" w:themeColor="text1"/>
          <w:kern w:val="2"/>
          <w:sz w:val="24"/>
          <w:szCs w:val="24"/>
          <w14:textFill>
            <w14:solidFill>
              <w14:schemeClr w14:val="tx1"/>
            </w14:solidFill>
          </w14:textFill>
        </w:rPr>
        <w:t xml:space="preserve">2023年，吴江区地区生产总值：分季度看，一季度增长0.7%，上半年增长3.6%，前三季度增长3.5%，全年经济运行总体呈现前低、恢复、趋稳、提升的向好发展态势。分产业看，第一产业增加值38.25亿元，增长3.6%；第二产业增加值1233.81亿元，增长3.9%；第三产业增加值1105.22亿元，增长4.5%。三次产业比为1.6：51.9：46.5，第二产业占比较上年下降0.7个百分点，第三产业提升0.7个百分点</w:t>
      </w:r>
      <w:bookmarkEnd w:id="12"/>
      <w:r>
        <w:rPr>
          <w:color w:val="000000" w:themeColor="text1"/>
          <w:kern w:val="2"/>
          <w:sz w:val="24"/>
          <w:szCs w:val="24"/>
          <w14:textFill>
            <w14:solidFill>
              <w14:schemeClr w14:val="tx1"/>
            </w14:solidFill>
          </w14:textFill>
        </w:rPr>
        <w:t xml:space="preserve">。</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1.2</w:t>
      </w:r>
      <w:r>
        <w:rPr>
          <w:rFonts w:hint="eastAsia"/>
          <w:color w:val="000000" w:themeColor="text1"/>
          <w:kern w:val="2"/>
          <w:sz w:val="24"/>
          <w:szCs w:val="24"/>
          <w14:textFill>
            <w14:solidFill>
              <w14:schemeClr w14:val="tx1"/>
            </w14:solidFill>
          </w14:textFill>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Pr>
          <w:rFonts w:ascii="宋体" w:hAnsi="宋体"/>
          <w:sz w:val="24"/>
          <w:szCs w:val="24"/>
        </w:rPr>
        <w:t xml:space="preserve">。</w:t>
      </w:r>
      <w:bookmarkEnd w:id="14"/>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2023年，吴江区新房成交均价19890元/</w:t>
      </w:r>
      <w:r>
        <w:rPr>
          <w:szCs w:val="28"/>
        </w:rPr>
        <w:t xml:space="preserve"> m</w:t>
      </w:r>
      <w:r>
        <w:rPr>
          <w:szCs w:val="28"/>
          <w:vertAlign w:val="superscript"/>
        </w:rPr>
        <w:t xml:space="preserve">2</w:t>
      </w:r>
      <w:r>
        <w:rPr>
          <w:rFonts w:ascii="宋体" w:hAnsi="宋体"/>
          <w:sz w:val="24"/>
          <w:szCs w:val="24"/>
        </w:rPr>
        <w:t xml:space="preserve">，同比上涨4.88%，吴江区离踏上“2万元/ </w:t>
      </w:r>
      <w:r>
        <w:rPr>
          <w:szCs w:val="28"/>
        </w:rPr>
        <w:t xml:space="preserve">m</w:t>
      </w:r>
      <w:r>
        <w:rPr>
          <w:szCs w:val="28"/>
          <w:vertAlign w:val="superscript"/>
        </w:rPr>
        <w:t xml:space="preserve">2</w:t>
      </w:r>
      <w:r>
        <w:rPr>
          <w:rFonts w:ascii="宋体" w:hAnsi="宋体"/>
          <w:sz w:val="24"/>
          <w:szCs w:val="24"/>
        </w:rPr>
        <w:t xml:space="preserve">”仅一步之遥。但供应与成交两端，吴江区却表现较一般。供应量方面，新建商品住宅供应量约为55.31万</w:t>
      </w:r>
      <w:r>
        <w:rPr>
          <w:szCs w:val="28"/>
        </w:rPr>
        <w:t xml:space="preserve">m</w:t>
      </w:r>
      <w:r>
        <w:rPr>
          <w:szCs w:val="28"/>
          <w:vertAlign w:val="superscript"/>
        </w:rPr>
        <w:t xml:space="preserve">2</w:t>
      </w:r>
      <w:r>
        <w:rPr>
          <w:rFonts w:ascii="宋体" w:hAnsi="宋体"/>
          <w:sz w:val="24"/>
          <w:szCs w:val="24"/>
        </w:rPr>
        <w:t xml:space="preserve">，同比减少约36.88%，仅高于姑苏区。2023年全年，吴江区只有16个楼盘有取证动作，纯新盘也仅天健泓悦府、华润润樾江南等少数楼盘入市，市场供应端的萎缩导致了吴江区新房的成交量也大幅度下滑。成交量方面，新建商品住宅成交量约为93.78万</w:t>
      </w:r>
      <w:r>
        <w:rPr>
          <w:szCs w:val="28"/>
        </w:rPr>
        <w:t xml:space="preserve">m</w:t>
      </w:r>
      <w:r>
        <w:rPr>
          <w:szCs w:val="28"/>
          <w:vertAlign w:val="superscript"/>
        </w:rPr>
        <w:t xml:space="preserve">2</w:t>
      </w:r>
      <w:r>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snapToGrid w:val="0"/>
        <w:spacing w:line="480" w:lineRule="exact"/>
        <w:ind w:firstLine="480" w:firstLineChars="200"/>
        <w:rPr>
          <w:rFonts w:ascii="宋体" w:hAnsi="宋体"/>
          <w:sz w:val="24"/>
          <w:szCs w:val="24"/>
        </w:rPr>
      </w:pPr>
      <w:r>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2</w:t>
      </w:r>
      <w:r>
        <w:rPr>
          <w:rFonts w:ascii="宋体" w:hAnsi="宋体"/>
          <w:b/>
          <w:bCs/>
          <w:sz w:val="24"/>
          <w:szCs w:val="24"/>
        </w:rPr>
        <w:fldChar w:fldCharType="end"/>
      </w:r>
      <w:r>
        <w:rPr>
          <w:rFonts w:ascii="宋体" w:hAnsi="宋体"/>
          <w:b/>
          <w:bCs/>
          <w:sz w:val="24"/>
          <w:szCs w:val="24"/>
        </w:rPr>
        <w:t xml:space="preserve">  2023年度苏州市房地产调控政策一览表</w:t>
      </w:r>
    </w:p>
    <w:tbl>
      <w:tblPr>
        <w:tblStyle w:val="TableGrid"/>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846"/>
        <w:gridCol w:w="1332"/>
        <w:gridCol w:w="1333"/>
        <w:gridCol w:w="5011"/>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tblHeader/>
          <w:jc w:val="center"/>
        </w:trPr>
        <w:tc>
          <w:tcPr>
            <w:tcW w:w="496" w:type="pct"/>
            <w:vAlign w:val="center"/>
          </w:tcPr>
          <w:p>
            <w:pPr>
              <w:spacing w:line="360" w:lineRule="exact"/>
              <w:jc w:val="center"/>
              <w:rPr>
                <w:b/>
                <w:bCs/>
                <w:sz w:val="21"/>
                <w:szCs w:val="21"/>
              </w:rPr>
            </w:pPr>
            <w:r>
              <w:rPr>
                <w:b/>
                <w:bCs/>
                <w:sz w:val="21"/>
                <w:szCs w:val="21"/>
              </w:rPr>
              <w:t xml:space="preserve">序号</w:t>
            </w:r>
          </w:p>
        </w:tc>
        <w:tc>
          <w:tcPr>
            <w:tcW w:w="782" w:type="pct"/>
            <w:vAlign w:val="center"/>
          </w:tcPr>
          <w:p>
            <w:pPr>
              <w:spacing w:line="360" w:lineRule="exact"/>
              <w:jc w:val="center"/>
              <w:rPr>
                <w:b/>
                <w:bCs/>
                <w:sz w:val="21"/>
                <w:szCs w:val="21"/>
              </w:rPr>
            </w:pPr>
            <w:r>
              <w:rPr>
                <w:b/>
                <w:bCs/>
                <w:sz w:val="21"/>
                <w:szCs w:val="21"/>
              </w:rPr>
              <w:t xml:space="preserve">出台时间</w:t>
            </w:r>
          </w:p>
        </w:tc>
        <w:tc>
          <w:tcPr>
            <w:tcW w:w="782" w:type="pct"/>
            <w:vAlign w:val="center"/>
          </w:tcPr>
          <w:p>
            <w:pPr>
              <w:spacing w:line="360" w:lineRule="exact"/>
              <w:jc w:val="center"/>
              <w:rPr>
                <w:b/>
                <w:bCs/>
                <w:sz w:val="21"/>
                <w:szCs w:val="21"/>
              </w:rPr>
            </w:pPr>
            <w:r>
              <w:rPr>
                <w:b/>
                <w:bCs/>
                <w:sz w:val="21"/>
                <w:szCs w:val="21"/>
              </w:rPr>
              <w:t xml:space="preserve">调控政策</w:t>
            </w:r>
          </w:p>
        </w:tc>
        <w:tc>
          <w:tcPr>
            <w:tcW w:w="2941" w:type="pct"/>
            <w:vAlign w:val="center"/>
          </w:tcPr>
          <w:p>
            <w:pPr>
              <w:spacing w:line="360" w:lineRule="exact"/>
              <w:jc w:val="center"/>
              <w:rPr>
                <w:b/>
                <w:bCs/>
                <w:sz w:val="21"/>
                <w:szCs w:val="21"/>
              </w:rPr>
            </w:pPr>
            <w:r>
              <w:rPr>
                <w:b/>
                <w:bCs/>
                <w:sz w:val="21"/>
                <w:szCs w:val="21"/>
              </w:rPr>
              <w:t xml:space="preserve">具体内容</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w:t>
            </w:r>
          </w:p>
        </w:tc>
        <w:tc>
          <w:tcPr>
            <w:tcW w:w="782" w:type="pct"/>
            <w:vAlign w:val="center"/>
          </w:tcPr>
          <w:p>
            <w:pPr>
              <w:spacing w:line="360" w:lineRule="exact"/>
              <w:jc w:val="center"/>
              <w:rPr>
                <w:sz w:val="21"/>
                <w:szCs w:val="21"/>
              </w:rPr>
            </w:pPr>
            <w:r>
              <w:rPr>
                <w:sz w:val="21"/>
                <w:szCs w:val="21"/>
              </w:rPr>
              <w:t xml:space="preserve">2月19日</w:t>
            </w:r>
          </w:p>
        </w:tc>
        <w:tc>
          <w:tcPr>
            <w:tcW w:w="782" w:type="pct"/>
            <w:vAlign w:val="center"/>
          </w:tcPr>
          <w:p>
            <w:pPr>
              <w:spacing w:line="360" w:lineRule="exact"/>
              <w:jc w:val="center"/>
              <w:rPr>
                <w:sz w:val="21"/>
                <w:szCs w:val="21"/>
              </w:rPr>
            </w:pPr>
            <w:r>
              <w:rPr>
                <w:sz w:val="21"/>
                <w:szCs w:val="21"/>
              </w:rPr>
              <w:t xml:space="preserve">积分落户、分值调整</w:t>
            </w:r>
          </w:p>
        </w:tc>
        <w:tc>
          <w:tcPr>
            <w:tcW w:w="2941" w:type="pct"/>
            <w:vAlign w:val="center"/>
          </w:tcPr>
          <w:p>
            <w:pPr>
              <w:spacing w:line="360" w:lineRule="exact"/>
              <w:rPr>
                <w:sz w:val="21"/>
                <w:szCs w:val="21"/>
              </w:rPr>
            </w:pPr>
            <w:r>
              <w:rPr>
                <w:sz w:val="21"/>
                <w:szCs w:val="21"/>
              </w:rPr>
              <w:t xml:space="preserve">苏州六区总积分降至400分，4月1日开始执行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w:t>
            </w:r>
          </w:p>
        </w:tc>
        <w:tc>
          <w:tcPr>
            <w:tcW w:w="782" w:type="pct"/>
            <w:vAlign w:val="center"/>
          </w:tcPr>
          <w:p>
            <w:pPr>
              <w:spacing w:line="360" w:lineRule="exact"/>
              <w:jc w:val="center"/>
              <w:rPr>
                <w:sz w:val="21"/>
                <w:szCs w:val="21"/>
              </w:rPr>
            </w:pPr>
            <w:r>
              <w:rPr>
                <w:sz w:val="21"/>
                <w:szCs w:val="21"/>
              </w:rPr>
              <w:t xml:space="preserve">2月22日</w:t>
            </w:r>
          </w:p>
        </w:tc>
        <w:tc>
          <w:tcPr>
            <w:tcW w:w="782" w:type="pct"/>
            <w:vAlign w:val="center"/>
          </w:tcPr>
          <w:p>
            <w:pPr>
              <w:spacing w:line="360" w:lineRule="exact"/>
              <w:jc w:val="center"/>
              <w:rPr>
                <w:sz w:val="21"/>
                <w:szCs w:val="21"/>
              </w:rPr>
            </w:pPr>
            <w:r>
              <w:rPr>
                <w:sz w:val="21"/>
                <w:szCs w:val="21"/>
              </w:rPr>
              <w:t xml:space="preserve">四县市房迁落户政策</w:t>
            </w:r>
          </w:p>
        </w:tc>
        <w:tc>
          <w:tcPr>
            <w:tcW w:w="2941" w:type="pct"/>
            <w:vAlign w:val="center"/>
          </w:tcPr>
          <w:p>
            <w:pPr>
              <w:spacing w:line="360" w:lineRule="exact"/>
              <w:rPr>
                <w:sz w:val="21"/>
                <w:szCs w:val="21"/>
              </w:rPr>
            </w:pPr>
            <w:r>
              <w:rPr>
                <w:sz w:val="21"/>
                <w:szCs w:val="21"/>
              </w:rPr>
              <w:t xml:space="preserve">苏州四县市房迁落户，租房可以落户，4月1日开始执行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（3）</w:t>
            </w:r>
          </w:p>
        </w:tc>
        <w:tc>
          <w:tcPr>
            <w:tcW w:w="782" w:type="pct"/>
            <w:vAlign w:val="center"/>
          </w:tcPr>
          <w:p>
            <w:pPr>
              <w:spacing w:line="360" w:lineRule="exact"/>
              <w:jc w:val="center"/>
              <w:rPr>
                <w:sz w:val="21"/>
                <w:szCs w:val="21"/>
              </w:rPr>
            </w:pPr>
            <w:r>
              <w:rPr>
                <w:sz w:val="21"/>
                <w:szCs w:val="21"/>
              </w:rPr>
              <w:t xml:space="preserve">4月28日</w:t>
            </w:r>
          </w:p>
        </w:tc>
        <w:tc>
          <w:tcPr>
            <w:tcW w:w="782" w:type="pct"/>
            <w:vAlign w:val="center"/>
          </w:tcPr>
          <w:p>
            <w:pPr>
              <w:spacing w:line="360" w:lineRule="exact"/>
              <w:jc w:val="center"/>
              <w:rPr>
                <w:sz w:val="21"/>
                <w:szCs w:val="21"/>
              </w:rPr>
            </w:pPr>
            <w:r>
              <w:rPr>
                <w:sz w:val="21"/>
                <w:szCs w:val="21"/>
              </w:rPr>
              <w:t xml:space="preserve">限购调整</w:t>
            </w:r>
          </w:p>
        </w:tc>
        <w:tc>
          <w:tcPr>
            <w:tcW w:w="2941" w:type="pct"/>
            <w:vAlign w:val="center"/>
          </w:tcPr>
          <w:p>
            <w:pPr>
              <w:spacing w:line="360" w:lineRule="exact"/>
              <w:rPr>
                <w:sz w:val="21"/>
                <w:szCs w:val="21"/>
              </w:rPr>
            </w:pPr>
            <w:r>
              <w:rPr>
                <w:sz w:val="21"/>
                <w:szCs w:val="21"/>
              </w:rPr>
              <w:t xml:space="preserve">相城区、吴中区、高新区除狮山及横塘外区域外地人购买首套房个税减少为连续3个月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（4）</w:t>
            </w:r>
          </w:p>
        </w:tc>
        <w:tc>
          <w:tcPr>
            <w:tcW w:w="782" w:type="pct"/>
            <w:vAlign w:val="center"/>
          </w:tcPr>
          <w:p>
            <w:pPr>
              <w:spacing w:line="360" w:lineRule="exact"/>
              <w:jc w:val="center"/>
              <w:rPr>
                <w:sz w:val="21"/>
                <w:szCs w:val="21"/>
              </w:rPr>
            </w:pPr>
            <w:r>
              <w:rPr>
                <w:sz w:val="21"/>
                <w:szCs w:val="21"/>
              </w:rPr>
              <w:t xml:space="preserve">5月1日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公积金贷款首次使用上限提升到15倍，二次使用提升到10倍，有两个及以上未成年子女上限上浮30%，最高117万，除园区外，市区开启“商转公”</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（5）</w:t>
            </w:r>
          </w:p>
        </w:tc>
        <w:tc>
          <w:tcPr>
            <w:tcW w:w="782" w:type="pct"/>
            <w:vAlign w:val="center"/>
          </w:tcPr>
          <w:p>
            <w:pPr>
              <w:spacing w:line="360" w:lineRule="exact"/>
              <w:jc w:val="center"/>
              <w:rPr>
                <w:sz w:val="21"/>
                <w:szCs w:val="21"/>
              </w:rPr>
            </w:pPr>
            <w:r>
              <w:rPr>
                <w:sz w:val="21"/>
                <w:szCs w:val="21"/>
              </w:rPr>
              <w:t xml:space="preserve">5月20日</w:t>
            </w:r>
          </w:p>
        </w:tc>
        <w:tc>
          <w:tcPr>
            <w:tcW w:w="782" w:type="pct"/>
            <w:vAlign w:val="center"/>
          </w:tcPr>
          <w:p>
            <w:pPr>
              <w:spacing w:line="360" w:lineRule="exact"/>
              <w:jc w:val="center"/>
              <w:rPr>
                <w:sz w:val="21"/>
                <w:szCs w:val="21"/>
              </w:rPr>
            </w:pPr>
            <w:r>
              <w:rPr>
                <w:sz w:val="21"/>
                <w:szCs w:val="21"/>
              </w:rPr>
              <w:t xml:space="preserve">契税补贴</w:t>
            </w:r>
          </w:p>
        </w:tc>
        <w:tc>
          <w:tcPr>
            <w:tcW w:w="2941" w:type="pct"/>
            <w:vAlign w:val="center"/>
          </w:tcPr>
          <w:p>
            <w:pPr>
              <w:spacing w:line="360" w:lineRule="exact"/>
              <w:rPr>
                <w:sz w:val="21"/>
                <w:szCs w:val="21"/>
              </w:rPr>
            </w:pPr>
            <w:r>
              <w:rPr>
                <w:sz w:val="21"/>
                <w:szCs w:val="21"/>
              </w:rPr>
              <w:t xml:space="preserve">高新区、吴中区、相城区、吴江区、张家港市、太仓市等，出台契税补贴，符合条件购房补贴50%契税</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（6）</w:t>
            </w:r>
          </w:p>
        </w:tc>
        <w:tc>
          <w:tcPr>
            <w:tcW w:w="782" w:type="pct"/>
            <w:vAlign w:val="center"/>
          </w:tcPr>
          <w:p>
            <w:pPr>
              <w:spacing w:line="360" w:lineRule="exact"/>
              <w:jc w:val="center"/>
              <w:rPr>
                <w:sz w:val="21"/>
                <w:szCs w:val="21"/>
              </w:rPr>
            </w:pPr>
            <w:r>
              <w:rPr>
                <w:sz w:val="21"/>
                <w:szCs w:val="21"/>
              </w:rPr>
              <w:t xml:space="preserve">6月1日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购房可提取公积金作为首付</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（7）</w:t>
            </w:r>
          </w:p>
        </w:tc>
        <w:tc>
          <w:tcPr>
            <w:tcW w:w="782" w:type="pct"/>
            <w:vAlign w:val="center"/>
          </w:tcPr>
          <w:p>
            <w:pPr>
              <w:spacing w:line="360" w:lineRule="exact"/>
              <w:jc w:val="center"/>
              <w:rPr>
                <w:sz w:val="21"/>
                <w:szCs w:val="21"/>
              </w:rPr>
            </w:pPr>
            <w:r>
              <w:rPr>
                <w:sz w:val="21"/>
                <w:szCs w:val="21"/>
              </w:rPr>
              <w:t xml:space="preserve">6月6日</w:t>
            </w:r>
          </w:p>
        </w:tc>
        <w:tc>
          <w:tcPr>
            <w:tcW w:w="782" w:type="pct"/>
            <w:vAlign w:val="center"/>
          </w:tcPr>
          <w:p>
            <w:pPr>
              <w:spacing w:line="360" w:lineRule="exact"/>
              <w:jc w:val="center"/>
              <w:rPr>
                <w:sz w:val="21"/>
                <w:szCs w:val="21"/>
              </w:rPr>
            </w:pPr>
            <w:r>
              <w:rPr>
                <w:sz w:val="21"/>
                <w:szCs w:val="21"/>
              </w:rPr>
              <w:t xml:space="preserve">园区商转公</w:t>
            </w:r>
          </w:p>
        </w:tc>
        <w:tc>
          <w:tcPr>
            <w:tcW w:w="2941" w:type="pct"/>
            <w:vAlign w:val="center"/>
          </w:tcPr>
          <w:p>
            <w:pPr>
              <w:spacing w:line="360" w:lineRule="exact"/>
              <w:rPr>
                <w:sz w:val="21"/>
                <w:szCs w:val="21"/>
              </w:rPr>
            </w:pPr>
            <w:r>
              <w:rPr>
                <w:sz w:val="21"/>
                <w:szCs w:val="21"/>
              </w:rPr>
              <w:t xml:space="preserve">园区商业贷款也可转为公积金贷款，与苏州全市同步</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（8）</w:t>
            </w:r>
          </w:p>
        </w:tc>
        <w:tc>
          <w:tcPr>
            <w:tcW w:w="782" w:type="pct"/>
            <w:vAlign w:val="center"/>
          </w:tcPr>
          <w:p>
            <w:pPr>
              <w:spacing w:line="360" w:lineRule="exact"/>
              <w:jc w:val="center"/>
              <w:rPr>
                <w:sz w:val="21"/>
                <w:szCs w:val="21"/>
              </w:rPr>
            </w:pPr>
            <w:r>
              <w:rPr>
                <w:sz w:val="21"/>
                <w:szCs w:val="21"/>
              </w:rPr>
              <w:t xml:space="preserve">6月20日</w:t>
            </w:r>
          </w:p>
        </w:tc>
        <w:tc>
          <w:tcPr>
            <w:tcW w:w="782" w:type="pct"/>
            <w:vAlign w:val="center"/>
          </w:tcPr>
          <w:p>
            <w:pPr>
              <w:spacing w:line="360" w:lineRule="exact"/>
              <w:jc w:val="center"/>
              <w:rPr>
                <w:sz w:val="21"/>
                <w:szCs w:val="21"/>
              </w:rPr>
            </w:pPr>
            <w:r>
              <w:rPr>
                <w:sz w:val="21"/>
                <w:szCs w:val="21"/>
              </w:rPr>
              <w:t xml:space="preserve">LPR调整</w:t>
            </w:r>
          </w:p>
        </w:tc>
        <w:tc>
          <w:tcPr>
            <w:tcW w:w="2941" w:type="pct"/>
            <w:vAlign w:val="center"/>
          </w:tcPr>
          <w:p>
            <w:pPr>
              <w:spacing w:line="360" w:lineRule="exact"/>
              <w:rPr>
                <w:sz w:val="21"/>
                <w:szCs w:val="21"/>
              </w:rPr>
            </w:pPr>
            <w:r>
              <w:rPr>
                <w:sz w:val="21"/>
                <w:szCs w:val="21"/>
              </w:rPr>
              <w:t xml:space="preserve">LPR降低10BP，苏州首套房贷利率由4.1%降至4%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（9）</w:t>
            </w:r>
          </w:p>
        </w:tc>
        <w:tc>
          <w:tcPr>
            <w:tcW w:w="782" w:type="pct"/>
            <w:vAlign w:val="center"/>
          </w:tcPr>
          <w:p>
            <w:pPr>
              <w:spacing w:line="360" w:lineRule="exact"/>
              <w:jc w:val="center"/>
              <w:rPr>
                <w:sz w:val="21"/>
                <w:szCs w:val="21"/>
              </w:rPr>
            </w:pPr>
            <w:r>
              <w:rPr>
                <w:sz w:val="21"/>
                <w:szCs w:val="21"/>
              </w:rPr>
              <w:t xml:space="preserve">9月2日</w:t>
            </w:r>
          </w:p>
        </w:tc>
        <w:tc>
          <w:tcPr>
            <w:tcW w:w="782" w:type="pct"/>
            <w:vAlign w:val="center"/>
          </w:tcPr>
          <w:p>
            <w:pPr>
              <w:spacing w:line="360" w:lineRule="exact"/>
              <w:jc w:val="center"/>
              <w:rPr>
                <w:sz w:val="21"/>
                <w:szCs w:val="21"/>
              </w:rPr>
            </w:pPr>
            <w:r>
              <w:rPr>
                <w:sz w:val="21"/>
                <w:szCs w:val="21"/>
              </w:rPr>
              <w:t xml:space="preserve">执行认房不认贷</w:t>
            </w:r>
          </w:p>
        </w:tc>
        <w:tc>
          <w:tcPr>
            <w:tcW w:w="2941" w:type="pct"/>
            <w:vAlign w:val="center"/>
          </w:tcPr>
          <w:p>
            <w:pPr>
              <w:spacing w:line="360" w:lineRule="exact"/>
              <w:rPr>
                <w:sz w:val="21"/>
                <w:szCs w:val="21"/>
              </w:rPr>
            </w:pPr>
            <w:r>
              <w:rPr>
                <w:sz w:val="21"/>
                <w:szCs w:val="21"/>
              </w:rPr>
              <w:t xml:space="preserve">家庭成员在苏州市名下无成套住房的，不论是否已利用贷款购买过住房，均按首套房执行信贷政策</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（10）</w:t>
            </w:r>
          </w:p>
        </w:tc>
        <w:tc>
          <w:tcPr>
            <w:tcW w:w="782" w:type="pct"/>
            <w:vAlign w:val="center"/>
          </w:tcPr>
          <w:p>
            <w:pPr>
              <w:spacing w:line="360" w:lineRule="exact"/>
              <w:jc w:val="center"/>
              <w:rPr>
                <w:sz w:val="21"/>
                <w:szCs w:val="21"/>
              </w:rPr>
            </w:pPr>
            <w:r>
              <w:rPr>
                <w:sz w:val="21"/>
                <w:szCs w:val="21"/>
              </w:rPr>
              <w:t xml:space="preserve">9月8日</w:t>
            </w:r>
          </w:p>
        </w:tc>
        <w:tc>
          <w:tcPr>
            <w:tcW w:w="782" w:type="pct"/>
            <w:vAlign w:val="center"/>
          </w:tcPr>
          <w:p>
            <w:pPr>
              <w:spacing w:line="360" w:lineRule="exact"/>
              <w:jc w:val="center"/>
              <w:rPr>
                <w:sz w:val="21"/>
                <w:szCs w:val="21"/>
              </w:rPr>
            </w:pPr>
            <w:r>
              <w:rPr>
                <w:sz w:val="21"/>
                <w:szCs w:val="21"/>
              </w:rPr>
              <w:t xml:space="preserve">限购放松</w:t>
            </w:r>
          </w:p>
        </w:tc>
        <w:tc>
          <w:tcPr>
            <w:tcW w:w="2941" w:type="pct"/>
            <w:vAlign w:val="center"/>
          </w:tcPr>
          <w:p>
            <w:pPr>
              <w:spacing w:line="360" w:lineRule="exact"/>
              <w:rPr>
                <w:sz w:val="21"/>
                <w:szCs w:val="21"/>
              </w:rPr>
            </w:pPr>
            <w:r>
              <w:rPr>
                <w:sz w:val="21"/>
                <w:szCs w:val="21"/>
              </w:rPr>
              <w:t xml:space="preserve">取消外地户籍购房限制，120m</w:t>
            </w:r>
            <w:r>
              <w:rPr>
                <w:sz w:val="21"/>
                <w:szCs w:val="21"/>
                <w:vertAlign w:val="superscript"/>
              </w:rPr>
              <w:t xml:space="preserve">2</w:t>
            </w:r>
            <w:r>
              <w:rPr>
                <w:sz w:val="21"/>
                <w:szCs w:val="21"/>
              </w:rPr>
              <w:t xml:space="preserve">以内限购3套、120m</w:t>
            </w:r>
            <w:r>
              <w:rPr>
                <w:sz w:val="21"/>
                <w:szCs w:val="21"/>
                <w:vertAlign w:val="superscript"/>
              </w:rPr>
              <w:t xml:space="preserve">2</w:t>
            </w:r>
            <w:r>
              <w:rPr>
                <w:sz w:val="21"/>
                <w:szCs w:val="21"/>
              </w:rPr>
              <w:t xml:space="preserve">及以上不限套数，落实降低首套房、2套房执行首付比例和贷款利率</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（11）</w:t>
            </w:r>
          </w:p>
        </w:tc>
        <w:tc>
          <w:tcPr>
            <w:tcW w:w="782" w:type="pct"/>
            <w:vAlign w:val="center"/>
          </w:tcPr>
          <w:p>
            <w:pPr>
              <w:spacing w:line="360" w:lineRule="exact"/>
              <w:jc w:val="center"/>
              <w:rPr>
                <w:sz w:val="21"/>
                <w:szCs w:val="21"/>
              </w:rPr>
            </w:pPr>
            <w:r>
              <w:rPr>
                <w:sz w:val="21"/>
                <w:szCs w:val="21"/>
              </w:rPr>
              <w:t xml:space="preserve">9月12日</w:t>
            </w:r>
          </w:p>
        </w:tc>
        <w:tc>
          <w:tcPr>
            <w:tcW w:w="782" w:type="pct"/>
            <w:vAlign w:val="center"/>
          </w:tcPr>
          <w:p>
            <w:pPr>
              <w:spacing w:line="360" w:lineRule="exact"/>
              <w:jc w:val="center"/>
              <w:rPr>
                <w:sz w:val="21"/>
                <w:szCs w:val="21"/>
              </w:rPr>
            </w:pPr>
            <w:r>
              <w:rPr>
                <w:sz w:val="21"/>
                <w:szCs w:val="21"/>
              </w:rPr>
              <w:t xml:space="preserve">贷款政策调整</w:t>
            </w:r>
          </w:p>
        </w:tc>
        <w:tc>
          <w:tcPr>
            <w:tcW w:w="2941" w:type="pct"/>
            <w:vAlign w:val="center"/>
          </w:tcPr>
          <w:p>
            <w:pPr>
              <w:spacing w:line="360" w:lineRule="exact"/>
              <w:rPr>
                <w:sz w:val="21"/>
                <w:szCs w:val="21"/>
              </w:rPr>
            </w:pPr>
            <w:r>
              <w:rPr>
                <w:sz w:val="21"/>
                <w:szCs w:val="21"/>
              </w:rPr>
              <w:t xml:space="preserve">首套房及二套房无贷款或贷款结清首付比例从3成下降为2成，二套房未结清的为3成</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（12）</w:t>
            </w:r>
          </w:p>
        </w:tc>
        <w:tc>
          <w:tcPr>
            <w:tcW w:w="782" w:type="pct"/>
            <w:vAlign w:val="center"/>
          </w:tcPr>
          <w:p>
            <w:pPr>
              <w:spacing w:line="360" w:lineRule="exact"/>
              <w:jc w:val="center"/>
              <w:rPr>
                <w:sz w:val="21"/>
                <w:szCs w:val="21"/>
              </w:rPr>
            </w:pPr>
            <w:r>
              <w:rPr>
                <w:sz w:val="21"/>
                <w:szCs w:val="21"/>
              </w:rPr>
              <w:t xml:space="preserve">9月28日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上调公积金最高额度，个人最高可贷80万，家庭最高可贷110万，公积金贷款期限最长不超过30年</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（13）</w:t>
            </w:r>
          </w:p>
        </w:tc>
        <w:tc>
          <w:tcPr>
            <w:tcW w:w="782" w:type="pct"/>
            <w:vAlign w:val="center"/>
          </w:tcPr>
          <w:p>
            <w:pPr>
              <w:spacing w:line="360" w:lineRule="exact"/>
              <w:jc w:val="center"/>
              <w:rPr>
                <w:sz w:val="21"/>
                <w:szCs w:val="21"/>
              </w:rPr>
            </w:pPr>
            <w:r>
              <w:rPr>
                <w:sz w:val="21"/>
                <w:szCs w:val="21"/>
              </w:rPr>
              <w:t xml:space="preserve">10月10日</w:t>
            </w:r>
          </w:p>
        </w:tc>
        <w:tc>
          <w:tcPr>
            <w:tcW w:w="782" w:type="pct"/>
            <w:vAlign w:val="center"/>
          </w:tcPr>
          <w:p>
            <w:pPr>
              <w:spacing w:line="360" w:lineRule="exact"/>
              <w:jc w:val="center"/>
              <w:rPr>
                <w:sz w:val="21"/>
                <w:szCs w:val="21"/>
              </w:rPr>
            </w:pPr>
            <w:r>
              <w:rPr>
                <w:sz w:val="21"/>
                <w:szCs w:val="21"/>
              </w:rPr>
              <w:t xml:space="preserve">放宽落户</w:t>
            </w:r>
          </w:p>
          <w:p>
            <w:pPr>
              <w:spacing w:line="360" w:lineRule="exact"/>
              <w:jc w:val="center"/>
              <w:rPr>
                <w:sz w:val="21"/>
                <w:szCs w:val="21"/>
              </w:rPr>
            </w:pPr>
            <w:r>
              <w:rPr>
                <w:sz w:val="21"/>
                <w:szCs w:val="21"/>
              </w:rPr>
              <w:t xml:space="preserve">条件</w:t>
            </w:r>
          </w:p>
        </w:tc>
        <w:tc>
          <w:tcPr>
            <w:tcW w:w="2941" w:type="pct"/>
            <w:vAlign w:val="center"/>
          </w:tcPr>
          <w:p>
            <w:pPr>
              <w:spacing w:line="360" w:lineRule="exact"/>
              <w:rPr>
                <w:sz w:val="21"/>
                <w:szCs w:val="21"/>
              </w:rPr>
            </w:pPr>
            <w:r>
              <w:rPr>
                <w:sz w:val="21"/>
                <w:szCs w:val="21"/>
              </w:rPr>
              <w:t xml:space="preserve">具有专业技术人员职业资格的人员纳入人才落户对象，非全日制本科也可落户</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（14）</w:t>
            </w:r>
          </w:p>
        </w:tc>
        <w:tc>
          <w:tcPr>
            <w:tcW w:w="782" w:type="pct"/>
            <w:vAlign w:val="center"/>
          </w:tcPr>
          <w:p>
            <w:pPr>
              <w:spacing w:line="360" w:lineRule="exact"/>
              <w:jc w:val="center"/>
              <w:rPr>
                <w:sz w:val="21"/>
                <w:szCs w:val="21"/>
              </w:rPr>
            </w:pPr>
            <w:r>
              <w:rPr>
                <w:sz w:val="21"/>
                <w:szCs w:val="21"/>
              </w:rPr>
              <w:t xml:space="preserve">10月30日</w:t>
            </w:r>
          </w:p>
        </w:tc>
        <w:tc>
          <w:tcPr>
            <w:tcW w:w="782" w:type="pct"/>
            <w:vAlign w:val="center"/>
          </w:tcPr>
          <w:p>
            <w:pPr>
              <w:spacing w:line="360" w:lineRule="exact"/>
              <w:jc w:val="center"/>
              <w:rPr>
                <w:sz w:val="21"/>
                <w:szCs w:val="21"/>
              </w:rPr>
            </w:pPr>
            <w:r>
              <w:rPr>
                <w:sz w:val="21"/>
                <w:szCs w:val="21"/>
              </w:rPr>
              <w:t xml:space="preserve">土拍规则</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取消最高限价，改为价高者得；取消不得设置带有私家花园的低层独立式住宅的规定，别墅重回新房市场</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（15）</w:t>
            </w:r>
          </w:p>
        </w:tc>
        <w:tc>
          <w:tcPr>
            <w:tcW w:w="782" w:type="pct"/>
            <w:vAlign w:val="center"/>
          </w:tcPr>
          <w:p>
            <w:pPr>
              <w:spacing w:line="360" w:lineRule="exact"/>
              <w:jc w:val="center"/>
              <w:rPr>
                <w:sz w:val="21"/>
                <w:szCs w:val="21"/>
              </w:rPr>
            </w:pPr>
            <w:r>
              <w:rPr>
                <w:sz w:val="21"/>
                <w:szCs w:val="21"/>
              </w:rPr>
              <w:t xml:space="preserve">11月27日</w:t>
            </w:r>
          </w:p>
        </w:tc>
        <w:tc>
          <w:tcPr>
            <w:tcW w:w="782" w:type="pct"/>
            <w:vAlign w:val="center"/>
          </w:tcPr>
          <w:p>
            <w:pPr>
              <w:spacing w:line="360" w:lineRule="exact"/>
              <w:jc w:val="center"/>
              <w:rPr>
                <w:sz w:val="21"/>
                <w:szCs w:val="21"/>
              </w:rPr>
            </w:pPr>
            <w:r>
              <w:rPr>
                <w:sz w:val="21"/>
                <w:szCs w:val="21"/>
              </w:rPr>
              <w:t xml:space="preserve">人才落户</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《市政府关于印发苏州市人才落户管理办法的通知出台，人才落户进一步放宽》</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（16）</w:t>
            </w:r>
          </w:p>
        </w:tc>
        <w:tc>
          <w:tcPr>
            <w:tcW w:w="782" w:type="pct"/>
            <w:vAlign w:val="center"/>
          </w:tcPr>
          <w:p>
            <w:pPr>
              <w:spacing w:line="360" w:lineRule="exact"/>
              <w:jc w:val="center"/>
              <w:rPr>
                <w:sz w:val="21"/>
                <w:szCs w:val="21"/>
              </w:rPr>
            </w:pPr>
            <w:r>
              <w:rPr>
                <w:sz w:val="21"/>
                <w:szCs w:val="21"/>
              </w:rPr>
              <w:t xml:space="preserve">12月4日</w:t>
            </w:r>
          </w:p>
        </w:tc>
        <w:tc>
          <w:tcPr>
            <w:tcW w:w="782" w:type="pct"/>
            <w:vAlign w:val="center"/>
          </w:tcPr>
          <w:p>
            <w:pPr>
              <w:spacing w:line="360" w:lineRule="exact"/>
              <w:jc w:val="center"/>
              <w:rPr>
                <w:sz w:val="21"/>
                <w:szCs w:val="21"/>
              </w:rPr>
            </w:pPr>
            <w:r>
              <w:rPr>
                <w:sz w:val="21"/>
                <w:szCs w:val="21"/>
              </w:rPr>
              <w:t xml:space="preserve">实行卖旧买新和契税</w:t>
            </w:r>
          </w:p>
          <w:p>
            <w:pPr>
              <w:spacing w:line="360" w:lineRule="exact"/>
              <w:jc w:val="center"/>
              <w:rPr>
                <w:sz w:val="21"/>
                <w:szCs w:val="21"/>
              </w:rPr>
            </w:pPr>
            <w:r>
              <w:rPr>
                <w:sz w:val="21"/>
                <w:szCs w:val="21"/>
              </w:rPr>
              <w:t xml:space="preserve">补贴</w:t>
            </w:r>
          </w:p>
        </w:tc>
        <w:tc>
          <w:tcPr>
            <w:tcW w:w="2941" w:type="pct"/>
            <w:vAlign w:val="center"/>
          </w:tcPr>
          <w:p>
            <w:pPr>
              <w:spacing w:line="360" w:lineRule="exact"/>
              <w:rPr>
                <w:sz w:val="21"/>
                <w:szCs w:val="21"/>
              </w:rPr>
            </w:pPr>
            <w:r>
              <w:rPr>
                <w:sz w:val="21"/>
                <w:szCs w:val="21"/>
              </w:rPr>
              <w:t xml:space="preserve">苏州正式启动住房“换新购”，各区细则陆续出台</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（17）</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相城区实行收旧换新</w:t>
            </w:r>
          </w:p>
        </w:tc>
        <w:tc>
          <w:tcPr>
            <w:tcW w:w="2941" w:type="pct"/>
            <w:vAlign w:val="center"/>
          </w:tcPr>
          <w:p>
            <w:pPr>
              <w:spacing w:line="360" w:lineRule="exact"/>
              <w:rPr>
                <w:sz w:val="21"/>
                <w:szCs w:val="21"/>
              </w:rPr>
            </w:pPr>
            <w:r>
              <w:rPr>
                <w:sz w:val="21"/>
                <w:szCs w:val="21"/>
              </w:rPr>
              <w:t xml:space="preserve">相城区二手房面积低于144m</w:t>
            </w:r>
            <w:r>
              <w:rPr>
                <w:sz w:val="21"/>
                <w:szCs w:val="21"/>
                <w:vertAlign w:val="superscript"/>
              </w:rPr>
              <w:t xml:space="preserve">2</w:t>
            </w:r>
            <w:r>
              <w:rPr>
                <w:sz w:val="21"/>
                <w:szCs w:val="21"/>
              </w:rPr>
              <w:t xml:space="preserve">，可换购一套新房，三个楼盘可换购</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（18）</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吴江实行房票安置政策</w:t>
            </w:r>
          </w:p>
        </w:tc>
        <w:tc>
          <w:tcPr>
            <w:tcW w:w="2941" w:type="pct"/>
            <w:vAlign w:val="center"/>
          </w:tcPr>
          <w:p>
            <w:pPr>
              <w:spacing w:line="360" w:lineRule="exact"/>
              <w:rPr>
                <w:sz w:val="21"/>
                <w:szCs w:val="21"/>
              </w:rPr>
            </w:pPr>
            <w:r>
              <w:rPr>
                <w:sz w:val="21"/>
                <w:szCs w:val="21"/>
              </w:rPr>
              <w:t xml:space="preserve">同里发出全区首张房票</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（19）</w:t>
            </w:r>
          </w:p>
        </w:tc>
        <w:tc>
          <w:tcPr>
            <w:tcW w:w="782" w:type="pct"/>
            <w:vAlign w:val="center"/>
          </w:tcPr>
          <w:p>
            <w:pPr>
              <w:spacing w:line="360" w:lineRule="exact"/>
              <w:jc w:val="center"/>
              <w:rPr>
                <w:sz w:val="21"/>
                <w:szCs w:val="21"/>
              </w:rPr>
            </w:pPr>
            <w:r>
              <w:rPr>
                <w:sz w:val="21"/>
                <w:szCs w:val="21"/>
              </w:rPr>
              <w:t xml:space="preserve">12月21日</w:t>
            </w:r>
          </w:p>
        </w:tc>
        <w:tc>
          <w:tcPr>
            <w:tcW w:w="782" w:type="pct"/>
            <w:vAlign w:val="center"/>
          </w:tcPr>
          <w:p>
            <w:pPr>
              <w:spacing w:line="360" w:lineRule="exact"/>
              <w:jc w:val="center"/>
              <w:rPr>
                <w:sz w:val="21"/>
                <w:szCs w:val="21"/>
              </w:rPr>
            </w:pPr>
            <w:r>
              <w:rPr>
                <w:sz w:val="21"/>
                <w:szCs w:val="21"/>
              </w:rPr>
              <w:t xml:space="preserve">园区取消九年一学位</w:t>
            </w:r>
          </w:p>
        </w:tc>
        <w:tc>
          <w:tcPr>
            <w:tcW w:w="2941" w:type="pct"/>
            <w:vAlign w:val="center"/>
          </w:tcPr>
          <w:p>
            <w:pPr>
              <w:spacing w:line="360" w:lineRule="exact"/>
              <w:rPr>
                <w:sz w:val="21"/>
                <w:szCs w:val="21"/>
              </w:rPr>
            </w:pPr>
            <w:r>
              <w:rPr>
                <w:sz w:val="21"/>
                <w:szCs w:val="21"/>
              </w:rPr>
              <w:t xml:space="preserve">园区取消九年一学位，实施五年一学位</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（20）</w:t>
            </w:r>
          </w:p>
        </w:tc>
        <w:tc>
          <w:tcPr>
            <w:tcW w:w="782" w:type="pct"/>
            <w:vAlign w:val="center"/>
          </w:tcPr>
          <w:p>
            <w:pPr>
              <w:spacing w:line="360" w:lineRule="exact"/>
              <w:jc w:val="center"/>
              <w:rPr>
                <w:sz w:val="21"/>
                <w:szCs w:val="21"/>
              </w:rPr>
            </w:pPr>
            <w:r>
              <w:rPr>
                <w:sz w:val="21"/>
                <w:szCs w:val="21"/>
              </w:rPr>
              <w:t xml:space="preserve">12月29日</w:t>
            </w:r>
          </w:p>
        </w:tc>
        <w:tc>
          <w:tcPr>
            <w:tcW w:w="782" w:type="pct"/>
            <w:vAlign w:val="center"/>
          </w:tcPr>
          <w:p>
            <w:pPr>
              <w:spacing w:line="360" w:lineRule="exact"/>
              <w:jc w:val="center"/>
              <w:rPr>
                <w:sz w:val="21"/>
                <w:szCs w:val="21"/>
              </w:rPr>
            </w:pPr>
            <w:r>
              <w:rPr>
                <w:sz w:val="21"/>
                <w:szCs w:val="21"/>
              </w:rPr>
              <w:t xml:space="preserve">落户积分</w:t>
            </w:r>
          </w:p>
          <w:p>
            <w:pPr>
              <w:spacing w:line="360" w:lineRule="exact"/>
              <w:jc w:val="center"/>
              <w:rPr>
                <w:sz w:val="21"/>
                <w:szCs w:val="21"/>
              </w:rPr>
            </w:pPr>
            <w:r>
              <w:rPr>
                <w:sz w:val="21"/>
                <w:szCs w:val="21"/>
              </w:rPr>
              <w:t xml:space="preserve">下调</w:t>
            </w:r>
          </w:p>
        </w:tc>
        <w:tc>
          <w:tcPr>
            <w:tcW w:w="2941" w:type="pct"/>
            <w:vAlign w:val="center"/>
          </w:tcPr>
          <w:p>
            <w:pPr>
              <w:spacing w:line="360" w:lineRule="exact"/>
              <w:rPr>
                <w:sz w:val="21"/>
                <w:szCs w:val="21"/>
              </w:rPr>
            </w:pPr>
            <w:r>
              <w:rPr>
                <w:sz w:val="21"/>
                <w:szCs w:val="21"/>
              </w:rPr>
              <w:t xml:space="preserve">苏州积分落户门槛再次降低，准入分值下调至250分</w:t>
            </w:r>
          </w:p>
        </w:tc>
      </w:tr>
    </w:tbl>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Pr>
          <w:rFonts w:eastAsia="黑体"/>
          <w:sz w:val="24"/>
        </w:rPr>
        <w:t xml:space="preserve">5</w:t>
      </w:r>
      <w:r>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bookmarkStart w:name="_GoBack" w:id="15"/>
      <w:bookmarkEnd w:id="15"/>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迎松小区住宅2024年12月挂牌均价11600元/平方米，较年初持平。待评估二手房住宅近10个月（2024年03月-2024年12月）挂牌均价波动幅度较小，价格维持在11600-12556元/平方米之间。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苏州市吴江区迎松小区</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F32050920240022281</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F32050920240043658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s202401230025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s202404010062</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吴江区松陵镇迎松小区17幢102室普通多层住宅标准房基准价格评估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振泰小区35幢501</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山湖秀峰苑37幢301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交通路口1999号35幢304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梅石小区25幢301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103.45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104.38</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107.22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105.44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85.53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5/5</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3/6</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2005</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简单装修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简单装修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简单装修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2024年12月02日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2024年05月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2024年09月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2024年03月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2024年04月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7664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7648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8261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8022</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指数，吴江区2023年12月至2024年11月住宅月度价格指数表为：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2023年12月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2024年03月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2024年04月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2024年05月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2024年06月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2024年07月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1939</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1917</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2024年08月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2024年09月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2024年10月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2024年11月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1913</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1919</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1912</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2024年11月02日</w:t>
            </w:r>
          </w:p>
        </w:tc>
        <w:tc>
          <w:tcPr>
            <w:tcW w:w="778" w:type="pct"/>
            <w:shd w:val="clear" w:color="auto" w:fill="FFFFFF"/>
            <w:vAlign w:val="center"/>
          </w:tcPr>
          <w:p>
            <w:pPr>
              <w:jc w:val="center"/>
            </w:pPr>
            <w:r>
              <w:rPr>
                <w:rFonts w:hint="eastAsia" w:ascii="宋体" w:hAnsi="宋体" w:cs="宋体"/>
              </w:rPr>
              <w:t xml:space="preserve">2024年05月</w:t>
            </w:r>
          </w:p>
        </w:tc>
        <w:tc>
          <w:tcPr>
            <w:tcW w:w="779" w:type="pct"/>
            <w:shd w:val="clear" w:color="auto" w:fill="FFFFFF"/>
            <w:vAlign w:val="center"/>
          </w:tcPr>
          <w:p>
            <w:pPr>
              <w:jc w:val="center"/>
            </w:pPr>
            <w:r>
              <w:rPr>
                <w:rFonts w:hint="eastAsia" w:ascii="宋体" w:hAnsi="宋体" w:cs="宋体"/>
              </w:rPr>
              <w:t xml:space="preserve">2024年09月</w:t>
            </w:r>
          </w:p>
        </w:tc>
        <w:tc>
          <w:tcPr>
            <w:tcW w:w="779" w:type="pct"/>
            <w:shd w:val="clear" w:color="auto" w:fill="FFFFFF"/>
            <w:vAlign w:val="center"/>
          </w:tcPr>
          <w:p>
            <w:pPr>
              <w:jc w:val="center"/>
            </w:pPr>
            <w:r>
              <w:rPr>
                <w:rFonts w:hint="eastAsia" w:ascii="宋体" w:hAnsi="宋体" w:cs="宋体"/>
              </w:rPr>
              <w:t xml:space="preserve">2024年03月</w:t>
            </w:r>
          </w:p>
        </w:tc>
        <w:tc>
          <w:tcPr>
            <w:tcW w:w="779" w:type="pct"/>
            <w:shd w:val="clear" w:color="auto" w:fill="FFFFFF"/>
            <w:vAlign w:val="center"/>
          </w:tcPr>
          <w:p>
            <w:pPr>
              <w:jc w:val="center"/>
            </w:pPr>
            <w:r>
              <w:rPr>
                <w:rFonts w:hint="eastAsia" w:ascii="宋体" w:hAnsi="宋体" w:cs="宋体"/>
              </w:rPr>
              <w:t xml:space="preserve">2024年04月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7664</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7648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8261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8022</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1912</w:t>
            </w:r>
          </w:p>
        </w:tc>
        <w:tc>
          <w:tcPr>
            <w:tcW w:w="778" w:type="pct"/>
            <w:shd w:val="clear" w:color="auto" w:fill="FFFFFF"/>
            <w:vAlign w:val="center"/>
          </w:tcPr>
          <w:p>
            <w:pPr>
              <w:jc w:val="center"/>
            </w:pPr>
            <w:r>
              <w:rPr>
                <w:rFonts w:hint="eastAsia" w:ascii="宋体" w:hAnsi="宋体" w:cs="宋体"/>
              </w:rPr>
              <w:t xml:space="preserve">1939</w:t>
            </w:r>
          </w:p>
        </w:tc>
        <w:tc>
          <w:tcPr>
            <w:tcW w:w="779" w:type="pct"/>
            <w:shd w:val="clear" w:color="auto" w:fill="FFFFFF"/>
            <w:vAlign w:val="center"/>
          </w:tcPr>
          <w:p>
            <w:pPr>
              <w:jc w:val="center"/>
            </w:pPr>
            <w:r>
              <w:rPr>
                <w:rFonts w:hint="eastAsia" w:ascii="宋体" w:hAnsi="宋体" w:cs="宋体"/>
              </w:rPr>
              <w:t xml:space="preserve">1931</w:t>
            </w:r>
          </w:p>
        </w:tc>
        <w:tc>
          <w:tcPr>
            <w:tcW w:w="779" w:type="pct"/>
            <w:shd w:val="clear" w:color="auto" w:fill="FFFFFF"/>
            <w:vAlign w:val="center"/>
          </w:tcPr>
          <w:p>
            <w:pPr>
              <w:jc w:val="center"/>
            </w:pPr>
            <w:r>
              <w:rPr>
                <w:rFonts w:hint="eastAsia" w:ascii="宋体" w:hAnsi="宋体" w:cs="宋体"/>
              </w:rPr>
              <w:t xml:space="preserve">1971</w:t>
            </w:r>
          </w:p>
        </w:tc>
        <w:tc>
          <w:tcPr>
            <w:tcW w:w="779" w:type="pct"/>
            <w:shd w:val="clear" w:color="auto" w:fill="FFFFFF"/>
            <w:vAlign w:val="center"/>
          </w:tcPr>
          <w:p>
            <w:pPr>
              <w:jc w:val="center"/>
            </w:pPr>
            <w:r>
              <w:rPr>
                <w:rFonts w:hint="eastAsia" w:ascii="宋体" w:hAnsi="宋体" w:cs="宋体"/>
              </w:rPr>
              <w:t xml:space="preserve">1948</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1912/1912</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1912/1939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1912/1931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1912/1971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1912/1948</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0.986</w:t>
            </w:r>
          </w:p>
        </w:tc>
        <w:tc>
          <w:tcPr>
            <w:tcW w:w="779" w:type="pct"/>
            <w:shd w:val="clear" w:color="auto" w:fill="FFFFFF"/>
            <w:vAlign w:val="center"/>
          </w:tcPr>
          <w:p>
            <w:pPr>
              <w:jc w:val="center"/>
            </w:pPr>
            <w:r>
              <w:rPr>
                <w:rFonts w:hint="eastAsia" w:ascii="宋体" w:hAnsi="宋体" w:cs="宋体"/>
              </w:rPr>
              <w:t xml:space="preserve">0.99</w:t>
            </w:r>
          </w:p>
        </w:tc>
        <w:tc>
          <w:tcPr>
            <w:tcW w:w="779" w:type="pct"/>
            <w:shd w:val="clear" w:color="auto" w:fill="FFFFFF"/>
            <w:vAlign w:val="center"/>
          </w:tcPr>
          <w:p>
            <w:pPr>
              <w:jc w:val="center"/>
            </w:pPr>
            <w:r>
              <w:rPr>
                <w:rFonts w:hint="eastAsia" w:ascii="宋体" w:hAnsi="宋体" w:cs="宋体"/>
              </w:rPr>
              <w:t xml:space="preserve">0.97</w:t>
            </w:r>
          </w:p>
        </w:tc>
        <w:tc>
          <w:tcPr>
            <w:tcW w:w="779" w:type="pct"/>
            <w:shd w:val="clear" w:color="auto" w:fill="FFFFFF"/>
            <w:vAlign w:val="center"/>
          </w:tcPr>
          <w:p>
            <w:pPr>
              <w:jc w:val="center"/>
            </w:pPr>
            <w:r>
              <w:rPr>
                <w:rFonts w:hint="eastAsia" w:ascii="宋体" w:hAnsi="宋体" w:cs="宋体"/>
              </w:rPr>
              <w:t xml:space="preserve">0.982</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备注：在价值时点2024年12月02日</w:t>
      </w:r>
      <w:r>
        <w:rPr>
          <w:rFonts w:hint="eastAsia" w:ascii="宋体" w:hAnsi="宋体" w:cs="宋体"/>
          <w:sz w:val="24"/>
          <w:szCs w:val="24"/>
        </w:rPr>
        <w:t xml:space="preserve">，2024年12月份价格指数尚未公布，本次估价采用2024年11月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6"/>
      <w:bookmarkStart w:name="_Toc352325665" w:id="17"/>
      <w:r>
        <w:rPr>
          <w:rFonts w:hint="eastAsia" w:ascii="宋体" w:hAnsi="宋体" w:cs="宋体"/>
          <w:b/>
          <w:sz w:val="21"/>
          <w:szCs w:val="21"/>
        </w:rPr>
        <w:t xml:space="preserve">（1）住宅房屋层次因素系数表</w:t>
      </w:r>
      <w:bookmarkEnd w:id="16"/>
      <w:bookmarkEnd w:id="17"/>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8"/>
      <w:bookmarkStart w:name="_Toc352325666" w:id="19"/>
      <w:r>
        <w:rPr>
          <w:rFonts w:hint="eastAsia" w:ascii="宋体" w:hAnsi="宋体" w:cs="宋体"/>
          <w:b/>
          <w:sz w:val="21"/>
          <w:szCs w:val="21"/>
        </w:rPr>
        <w:t xml:space="preserve">（2）住宅结构因素修正系数表</w:t>
      </w:r>
      <w:bookmarkEnd w:id="18"/>
      <w:bookmarkEnd w:id="19"/>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20"/>
            <w:bookmarkStart w:name="_Toc351596837" w:id="21"/>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20"/>
      <w:bookmarkEnd w:id="21"/>
    </w:p>
    <w:p>
      <w:pPr>
        <w:rPr>
          <w:vanish/>
          <w:sz w:val="21"/>
          <w:szCs w:val="21"/>
        </w:rPr>
      </w:pPr>
      <w:bookmarkStart w:name="_Toc352325668" w:id="22"/>
      <w:bookmarkStart w:name="_Toc351596838" w:id="23"/>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22"/>
      <w:bookmarkEnd w:id="23"/>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24"/>
            <w:bookmarkStart w:name="_Toc352325669" w:id="25"/>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0003" DrawAspect="Content" ObjectID="_1023941401"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4"/>
      <w:bookmarkEnd w:id="25"/>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吴江区松陵镇迎松小区17幢102室普通多层住宅标准房基准价格评估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振泰小区35幢501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山湖秀峰苑37幢301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交通路口1999号35幢304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梅石小区25幢301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103.45</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104.38</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107.22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105.44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85.53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106.11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105.6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105.08</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0.9518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0.9564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0.9612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0.9853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0.9762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0.9423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0.9277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7664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7648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8261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8022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7482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7207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7664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7460</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7664</w:t>
            </w:r>
          </w:p>
        </w:tc>
        <w:tc>
          <w:tcPr>
            <w:tcW w:w="922" w:type="pct"/>
            <w:shd w:val="clear" w:color="auto" w:fill="auto"/>
            <w:vAlign w:val="center"/>
          </w:tcPr>
          <w:p>
            <w:pPr>
              <w:jc w:val="center"/>
              <w:rPr>
                <w:rFonts w:ascii="宋体" w:hAnsi="宋体" w:cs="宋体"/>
              </w:rPr>
            </w:pPr>
            <w:r>
              <w:rPr>
                <w:rFonts w:hint="eastAsia" w:ascii="宋体" w:hAnsi="宋体" w:cs="宋体"/>
              </w:rPr>
              <w:t xml:space="preserve">7648</w:t>
            </w:r>
          </w:p>
        </w:tc>
        <w:tc>
          <w:tcPr>
            <w:tcW w:w="922" w:type="pct"/>
            <w:shd w:val="clear" w:color="auto" w:fill="auto"/>
            <w:vAlign w:val="center"/>
          </w:tcPr>
          <w:p>
            <w:pPr>
              <w:jc w:val="center"/>
              <w:rPr>
                <w:rFonts w:ascii="宋体" w:hAnsi="宋体" w:cs="宋体"/>
              </w:rPr>
            </w:pPr>
            <w:r>
              <w:rPr>
                <w:rFonts w:hint="eastAsia" w:ascii="宋体" w:hAnsi="宋体" w:cs="宋体"/>
              </w:rPr>
              <w:t xml:space="preserve">8261</w:t>
            </w:r>
          </w:p>
        </w:tc>
        <w:tc>
          <w:tcPr>
            <w:tcW w:w="922" w:type="pct"/>
            <w:shd w:val="clear" w:color="auto" w:fill="auto"/>
            <w:vAlign w:val="center"/>
          </w:tcPr>
          <w:p>
            <w:pPr>
              <w:jc w:val="center"/>
              <w:rPr>
                <w:rFonts w:ascii="宋体" w:hAnsi="宋体" w:cs="宋体"/>
              </w:rPr>
            </w:pPr>
            <w:r>
              <w:rPr>
                <w:rFonts w:hint="eastAsia" w:ascii="宋体" w:hAnsi="宋体" w:cs="宋体"/>
              </w:rPr>
              <w:t xml:space="preserve">8022</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0.986</w:t>
            </w:r>
          </w:p>
        </w:tc>
        <w:tc>
          <w:tcPr>
            <w:tcW w:w="922" w:type="pct"/>
            <w:shd w:val="clear" w:color="auto" w:fill="auto"/>
            <w:vAlign w:val="center"/>
          </w:tcPr>
          <w:p>
            <w:pPr>
              <w:jc w:val="center"/>
              <w:rPr>
                <w:rFonts w:ascii="宋体" w:hAnsi="宋体" w:cs="宋体"/>
              </w:rPr>
            </w:pPr>
            <w:r>
              <w:rPr>
                <w:rFonts w:hint="eastAsia" w:ascii="宋体" w:hAnsi="宋体" w:cs="宋体"/>
              </w:rPr>
              <w:t xml:space="preserve">0.99</w:t>
            </w:r>
          </w:p>
        </w:tc>
        <w:tc>
          <w:tcPr>
            <w:tcW w:w="922" w:type="pct"/>
            <w:shd w:val="clear" w:color="auto" w:fill="auto"/>
            <w:vAlign w:val="center"/>
          </w:tcPr>
          <w:p>
            <w:pPr>
              <w:jc w:val="center"/>
              <w:rPr>
                <w:rFonts w:ascii="宋体" w:hAnsi="宋体" w:cs="宋体"/>
              </w:rPr>
            </w:pPr>
            <w:r>
              <w:rPr>
                <w:rFonts w:hint="eastAsia" w:ascii="宋体" w:hAnsi="宋体" w:cs="宋体"/>
              </w:rPr>
              <w:t xml:space="preserve">0.97</w:t>
            </w:r>
          </w:p>
        </w:tc>
        <w:tc>
          <w:tcPr>
            <w:tcW w:w="922" w:type="pct"/>
            <w:shd w:val="clear" w:color="auto" w:fill="auto"/>
            <w:vAlign w:val="center"/>
          </w:tcPr>
          <w:p>
            <w:pPr>
              <w:jc w:val="center"/>
              <w:rPr>
                <w:rFonts w:ascii="宋体" w:hAnsi="宋体" w:cs="宋体"/>
              </w:rPr>
            </w:pPr>
            <w:r>
              <w:rPr>
                <w:rFonts w:hint="eastAsia" w:ascii="宋体" w:hAnsi="宋体" w:cs="宋体"/>
              </w:rPr>
              <w:t xml:space="preserve">0.982</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101/102.01</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101/106.11</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101/105.6</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101/105.08</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100.5/102</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0.9762</w:t>
            </w:r>
          </w:p>
        </w:tc>
        <w:tc>
          <w:tcPr>
            <w:tcW w:w="922" w:type="pct"/>
            <w:shd w:val="clear" w:color="auto" w:fill="auto"/>
            <w:vAlign w:val="center"/>
          </w:tcPr>
          <w:p>
            <w:pPr>
              <w:jc w:val="center"/>
              <w:rPr>
                <w:rFonts w:ascii="宋体" w:hAnsi="宋体" w:cs="宋体"/>
              </w:rPr>
            </w:pPr>
            <w:r>
              <w:rPr>
                <w:rFonts w:hint="eastAsia" w:ascii="宋体" w:hAnsi="宋体" w:cs="宋体"/>
              </w:rPr>
              <w:t xml:space="preserve">0.9423</w:t>
            </w:r>
          </w:p>
        </w:tc>
        <w:tc>
          <w:tcPr>
            <w:tcW w:w="922" w:type="pct"/>
            <w:shd w:val="clear" w:color="auto" w:fill="auto"/>
            <w:vAlign w:val="center"/>
          </w:tcPr>
          <w:p>
            <w:pPr>
              <w:jc w:val="center"/>
              <w:rPr>
                <w:rFonts w:ascii="宋体" w:hAnsi="宋体" w:cs="宋体"/>
              </w:rPr>
            </w:pPr>
            <w:r>
              <w:rPr>
                <w:rFonts w:hint="eastAsia" w:ascii="宋体" w:hAnsi="宋体" w:cs="宋体"/>
              </w:rPr>
              <w:t xml:space="preserve">0.9277</w:t>
            </w:r>
          </w:p>
        </w:tc>
        <w:tc>
          <w:tcPr>
            <w:tcW w:w="922" w:type="pct"/>
            <w:shd w:val="clear" w:color="auto" w:fill="auto"/>
            <w:vAlign w:val="center"/>
          </w:tcPr>
          <w:p>
            <w:pPr>
              <w:jc w:val="center"/>
              <w:rPr>
                <w:rFonts w:ascii="宋体" w:hAnsi="宋体" w:cs="宋体"/>
              </w:rPr>
            </w:pPr>
            <w:r>
              <w:rPr>
                <w:rFonts w:hint="eastAsia" w:ascii="宋体" w:hAnsi="宋体" w:cs="宋体"/>
              </w:rPr>
              <w:t xml:space="preserve">0.93</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7482</w:t>
            </w:r>
          </w:p>
        </w:tc>
        <w:tc>
          <w:tcPr>
            <w:tcW w:w="922" w:type="pct"/>
            <w:shd w:val="clear" w:color="auto" w:fill="auto"/>
            <w:vAlign w:val="center"/>
          </w:tcPr>
          <w:p>
            <w:pPr>
              <w:jc w:val="center"/>
              <w:rPr>
                <w:rFonts w:ascii="宋体" w:hAnsi="宋体" w:cs="宋体"/>
              </w:rPr>
            </w:pPr>
            <w:r>
              <w:rPr>
                <w:rFonts w:hint="eastAsia" w:ascii="宋体" w:hAnsi="宋体" w:cs="宋体"/>
              </w:rPr>
              <w:t xml:space="preserve">7207</w:t>
            </w:r>
          </w:p>
        </w:tc>
        <w:tc>
          <w:tcPr>
            <w:tcW w:w="922" w:type="pct"/>
            <w:shd w:val="clear" w:color="auto" w:fill="auto"/>
            <w:vAlign w:val="center"/>
          </w:tcPr>
          <w:p>
            <w:pPr>
              <w:jc w:val="center"/>
              <w:rPr>
                <w:rFonts w:ascii="宋体" w:hAnsi="宋体" w:cs="宋体"/>
              </w:rPr>
            </w:pPr>
            <w:r>
              <w:rPr>
                <w:rFonts w:hint="eastAsia" w:ascii="宋体" w:hAnsi="宋体" w:cs="宋体"/>
              </w:rPr>
              <w:t xml:space="preserve">7664</w:t>
            </w:r>
          </w:p>
        </w:tc>
        <w:tc>
          <w:tcPr>
            <w:tcW w:w="922" w:type="pct"/>
            <w:shd w:val="clear" w:color="auto" w:fill="auto"/>
            <w:vAlign w:val="center"/>
          </w:tcPr>
          <w:p>
            <w:pPr>
              <w:jc w:val="center"/>
              <w:rPr>
                <w:rFonts w:ascii="宋体" w:hAnsi="宋体" w:cs="宋体"/>
              </w:rPr>
            </w:pPr>
            <w:r>
              <w:rPr>
                <w:rFonts w:hint="eastAsia" w:ascii="宋体" w:hAnsi="宋体" w:cs="宋体"/>
              </w:rPr>
              <w:t xml:space="preserve">7460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7482</w:t>
            </w:r>
          </w:p>
        </w:tc>
        <w:tc>
          <w:tcPr>
            <w:tcW w:w="922" w:type="pct"/>
            <w:shd w:val="clear" w:color="auto" w:fill="auto"/>
            <w:vAlign w:val="center"/>
          </w:tcPr>
          <w:p>
            <w:pPr>
              <w:jc w:val="center"/>
              <w:rPr>
                <w:rFonts w:ascii="宋体" w:hAnsi="宋体" w:cs="宋体"/>
              </w:rPr>
            </w:pPr>
            <w:r>
              <w:rPr>
                <w:rFonts w:hint="eastAsia" w:ascii="宋体" w:hAnsi="宋体" w:cs="宋体"/>
              </w:rPr>
              <w:t xml:space="preserve">7207</w:t>
            </w:r>
          </w:p>
        </w:tc>
        <w:tc>
          <w:tcPr>
            <w:tcW w:w="922" w:type="pct"/>
            <w:shd w:val="clear" w:color="auto" w:fill="auto"/>
            <w:vAlign w:val="center"/>
          </w:tcPr>
          <w:p>
            <w:pPr>
              <w:jc w:val="center"/>
              <w:rPr>
                <w:rFonts w:ascii="宋体" w:hAnsi="宋体" w:cs="宋体"/>
              </w:rPr>
            </w:pPr>
            <w:r>
              <w:rPr>
                <w:rFonts w:hint="eastAsia" w:ascii="宋体" w:hAnsi="宋体" w:cs="宋体"/>
              </w:rPr>
              <w:t xml:space="preserve">7664</w:t>
            </w:r>
          </w:p>
        </w:tc>
        <w:tc>
          <w:tcPr>
            <w:tcW w:w="922" w:type="pct"/>
            <w:shd w:val="clear" w:color="auto" w:fill="auto"/>
            <w:vAlign w:val="center"/>
          </w:tcPr>
          <w:p>
            <w:pPr>
              <w:jc w:val="center"/>
              <w:rPr>
                <w:rFonts w:ascii="宋体" w:hAnsi="宋体" w:cs="宋体"/>
              </w:rPr>
            </w:pPr>
            <w:r>
              <w:rPr>
                <w:rFonts w:hint="eastAsia" w:ascii="宋体" w:hAnsi="宋体" w:cs="宋体"/>
              </w:rPr>
              <w:t xml:space="preserve">7460</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7453</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6"/>
      <w:bookmarkStart w:name="_Toc32222395" w:id="27"/>
      <w:r>
        <w:rPr>
          <w:rFonts w:hint="eastAsia" w:ascii="黑体" w:eastAsia="黑体"/>
          <w:sz w:val="48"/>
        </w:rPr>
        <w:t xml:space="preserve">附    件</w:t>
      </w:r>
      <w:bookmarkEnd w:id="26"/>
      <w:bookmarkEnd w:id="27"/>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F32050920240022281</w:t>
            </w:r>
          </w:p>
        </w:tc>
        <w:tc>
          <w:tcPr>
            <w:tcW w:w="1842" w:type="dxa"/>
            <w:vAlign w:val="center"/>
          </w:tcPr>
          <w:p>
            <w:pPr>
              <w:jc w:val="center"/>
            </w:pPr>
            <w:r>
              <w:rPr>
                <w:rFonts w:hint="eastAsia" w:ascii="宋体" w:hAnsi="宋体" w:cs="宋体"/>
              </w:rPr>
              <w:t xml:space="preserve">F32050920240043658</w:t>
            </w:r>
          </w:p>
        </w:tc>
        <w:tc>
          <w:tcPr>
            <w:tcW w:w="1843" w:type="dxa"/>
            <w:vAlign w:val="center"/>
          </w:tcPr>
          <w:p>
            <w:pPr>
              <w:jc w:val="center"/>
            </w:pPr>
            <w:r>
              <w:rPr>
                <w:rFonts w:hint="eastAsia" w:ascii="宋体" w:hAnsi="宋体" w:cs="宋体"/>
              </w:rPr>
              <w:t xml:space="preserve">s202401230025</w:t>
            </w:r>
          </w:p>
        </w:tc>
        <w:tc>
          <w:tcPr>
            <w:tcW w:w="1985" w:type="dxa"/>
            <w:vAlign w:val="center"/>
          </w:tcPr>
          <w:p>
            <w:pPr>
              <w:jc w:val="center"/>
            </w:pPr>
            <w:r>
              <w:rPr>
                <w:rFonts w:hint="eastAsia" w:ascii="宋体" w:hAnsi="宋体" w:cs="宋体"/>
              </w:rPr>
              <w:t xml:space="preserve">s202404010062</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振泰小区35幢501</w:t>
            </w:r>
          </w:p>
        </w:tc>
        <w:tc>
          <w:tcPr>
            <w:tcW w:w="1842" w:type="dxa"/>
            <w:vAlign w:val="center"/>
          </w:tcPr>
          <w:p>
            <w:pPr>
              <w:jc w:val="center"/>
            </w:pPr>
            <w:r>
              <w:rPr>
                <w:rFonts w:hint="eastAsia" w:ascii="宋体" w:hAnsi="宋体" w:cs="宋体"/>
              </w:rPr>
              <w:t xml:space="preserve">山湖秀峰苑37幢301</w:t>
            </w:r>
          </w:p>
        </w:tc>
        <w:tc>
          <w:tcPr>
            <w:tcW w:w="1843" w:type="dxa"/>
            <w:vAlign w:val="center"/>
          </w:tcPr>
          <w:p>
            <w:pPr>
              <w:jc w:val="center"/>
            </w:pPr>
            <w:r>
              <w:rPr>
                <w:rFonts w:hint="eastAsia" w:ascii="宋体" w:hAnsi="宋体" w:cs="宋体"/>
              </w:rPr>
              <w:t xml:space="preserve">交通路口1999号35幢304</w:t>
            </w:r>
          </w:p>
        </w:tc>
        <w:tc>
          <w:tcPr>
            <w:tcW w:w="1985" w:type="dxa"/>
            <w:vAlign w:val="center"/>
          </w:tcPr>
          <w:p>
            <w:pPr>
              <w:jc w:val="center"/>
            </w:pPr>
            <w:r>
              <w:rPr>
                <w:rFonts w:hint="eastAsia" w:ascii="宋体" w:hAnsi="宋体" w:cs="宋体"/>
              </w:rPr>
              <w:t xml:space="preserve">梅石小区25幢301</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振泰小区35幢501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山湖秀峰苑37幢301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交通路口1999号35幢304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梅石小区25幢301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20"/>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1"/>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3"/>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4"/>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5"/>
                </v:shape>
              </w:pict>
            </w:r>
          </w:p>
        </w:tc>
      </w:tr>
    </w:tbl>
    <w:p>
      <w:pPr>
        <w:spacing w:line="360" w:lineRule="auto"/>
        <w:jc w:val="both"/>
        <w:rPr>
          <w:rFonts w:ascii="仿宋_GB2312" w:hAnsi="华文仿宋" w:eastAsia="仿宋_GB2312"/>
          <w:bCs/>
          <w:sz w:val="28"/>
          <w:szCs w:val="28"/>
        </w:rPr>
      </w:pPr>
    </w:p>
    <w:sectPr>
      <w:footerReference w:type="default" r:id="rId26"/>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楷体_GB2312">
    <w:panose1 w:val="00000000000000000000"/>
    <w:charset w:val="86"/>
    <w:family w:val="modern"/>
    <w:pitch w:val="default"/>
    <w:sig w:usb0="00000000" w:usb1="00000000" w:usb2="00000010"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default"/>
    <w:sig w:usb0="00000000" w:usb1="00000000" w:usb2="00000010" w:usb3="00000000" w:csb0="0004009F" w:csb1="00000000"/>
  </w:font>
  <w:font w:name="Georgia">
    <w:panose1 w:val="02040502050405020303"/>
    <w:charset w:val="00"/>
    <w:family w:val="auto"/>
    <w:pitch w:val="default"/>
    <w:sig w:usb0="00000287" w:usb1="00000000" w:usb2="00000000" w:usb3="00000000" w:csb0="2000009F" w:csb1="00000000"/>
  </w:font>
  <w:font w:name="汉仪楷体KW">
    <w:panose1 w:val="00020600040101010101"/>
    <w:charset w:val="86"/>
    <w:family w:val="auto"/>
    <w:pitch w:val="default"/>
    <w:sig w:usb0="A00002BF" w:usb1="18EF7CFA" w:usb2="00000016" w:usb3="00000000" w:csb0="00040000" w:csb1="00000000"/>
  </w:font>
  <w:font w:name="C059">
    <w:panose1 w:val="00000500000000000000"/>
    <w:charset w:val="00"/>
    <w:family w:val="auto"/>
    <w:pitch w:val="default"/>
    <w:sig w:usb0="00000287" w:usb1="00000800" w:usb2="00000000" w:usb3="00000000" w:csb0="6000009F" w:csb1="00000000"/>
  </w:font>
  <w:font w:name="Noto Serif CJK SC">
    <w:panose1 w:val="02020400000000000000"/>
    <w:charset w:val="86"/>
    <w:family w:val="auto"/>
    <w:pitch w:val="default"/>
    <w:sig w:usb0="30000083" w:usb1="2BDF3C10" w:usb2="00000016" w:usb3="00000000" w:csb0="602E0107" w:csb1="00000000"/>
  </w:font>
  <w:font w:name="汉仪仿宋KW">
    <w:panose1 w:val="00020600040101010101"/>
    <w:charset w:val="86"/>
    <w:family w:val="auto"/>
    <w:pitch w:val="default"/>
    <w:sig w:usb0="A00002BF" w:usb1="18EF7CFA" w:usb2="00000016" w:usb3="00000000" w:csb0="00040000"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sl="http://schemas.openxmlformats.org/schemaLibrary/2006/main" xmlns:w="http://schemas.openxmlformats.org/wordprocessingml/2006/main" xmlns:w14="http://schemas.microsoft.com/office/word/2010/wordml"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png" /><Relationship Id="rId23" Type="http://schemas.openxmlformats.org/officeDocument/2006/relationships/image" Target="media/image19.jpeg" /><Relationship Id="rId24" Type="http://schemas.openxmlformats.org/officeDocument/2006/relationships/image" Target="media/image20.png" /><Relationship Id="rId25" Type="http://schemas.openxmlformats.org/officeDocument/2006/relationships/image" Target="media/image21.jpeg" /><Relationship Id="rId26" Type="http://schemas.openxmlformats.org/officeDocument/2006/relationships/footer" Target="footer2.xml" /><Relationship Id="rId27" Type="http://schemas.openxmlformats.org/officeDocument/2006/relationships/theme" Target="theme/theme1.xml" /><Relationship Id="rId28" Type="http://schemas.openxmlformats.org/officeDocument/2006/relationships/styles" Target="styles.xml" /><Relationship Id="rId29" Type="http://schemas.openxmlformats.org/officeDocument/2006/relationships/webSettings" Target="webSettings.xml" /><Relationship Id="rId3" Type="http://schemas.openxmlformats.org/officeDocument/2006/relationships/footer" Target="footer1.xml" /><Relationship Id="rId30" Type="http://schemas.openxmlformats.org/officeDocument/2006/relationships/numbering" Target="numbering.xml" /><Relationship Id="rId31" Type="http://schemas.openxmlformats.org/officeDocument/2006/relationships/fontTable" Target="fontTable.xml" /><Relationship Id="rId32"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34</Pages>
  <Words>3328</Words>
  <Characters>18970</Characters>
  <Application>WPS Office WWO_dingtalk_20240221035043-c523bba0e7</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1</cp:revision>
  <cp:lastPrinted>2020-04-01T02:20:00Z</cp:lastPrinted>
  <dcterms:created xsi:type="dcterms:W3CDTF">2023-05-07T01:44:00Z</dcterms:created>
  <dcterms:modified xsi:type="dcterms:W3CDTF">2024-05-09T11:04:40Z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wstr>2052-0.0.0.0</vt:lpwstr>
  </property>
  <property fmtid="{D5CDD505-2E9C-101B-9397-08002B2CF9AE}" pid="3" name="ICV">
    <vt:lpwstr>0681153265704AF2A3DC189A351F6915</vt:lpwstr>
  </property>
</Properties>
</file>