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苏吴地评税字(2025)吴江第00072号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苏州市吴江区平望镇</w:t>
      </w:r>
      <w:r>
        <w:rPr>
          <w:rFonts w:ascii="宋体" w:hAnsi="宋体" w:eastAsia="宋体" w:asciiTheme="minorEastAsia" w:hAnsiTheme="minorEastAsia" w:eastAsiaTheme="minorEastAsia"/>
          <w:sz w:val="24"/>
          <w:szCs w:val="24"/>
        </w:rPr>
        <w:t xml:space="preserve">望城名门普通多层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估价对象位于苏州市吴江区区域范围内的望城名门住宅小区普通多层存量房。该小区内的物业类型包括：</w:t>
      </w:r>
      <w:r>
        <w:rPr>
          <w:rFonts w:ascii="宋体"/>
          <w:sz w:val="24"/>
        </w:rPr>
        <w:t xml:space="preserve">普通多层、双拼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月修订版），结合估价人员现场查勘，选取望城名门</w:t>
      </w:r>
      <w:r>
        <w:rPr>
          <w:rFonts w:ascii="宋体"/>
          <w:sz w:val="24"/>
        </w:rPr>
        <w:t xml:space="preserve">4幢102室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80.81</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2025年01月31日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2025年01月31日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伍仟伍佰壹拾叁元整</w:t>
      </w:r>
      <w:r>
        <w:rPr>
          <w:rFonts w:hint="eastAsia" w:ascii="宋体" w:hAnsi="宋体"/>
          <w:b/>
          <w:bCs/>
          <w:sz w:val="24"/>
        </w:rPr>
        <w:t xml:space="preserve">（RMB</w:t>
      </w:r>
      <w:r>
        <w:rPr>
          <w:rFonts w:ascii="宋体" w:hAnsi="宋体"/>
          <w:b/>
          <w:bCs/>
          <w:sz w:val="24"/>
        </w:rPr>
        <w:t xml:space="preserve"> 5513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7" style="height:20pt;width:80pt" o:spid="_x0000_i0021"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19" style="height:20pt;width:80pt" o:spid="_x0000_i0022"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5.本报告作为整体使用时有效。若房地产市场无重大波动，本估价报告自出具日起一年内有效，从2025年02月20日至</w:t>
      </w:r>
      <w:r>
        <w:rPr>
          <w:rFonts w:ascii="宋体" w:hAnsi="宋体"/>
          <w:sz w:val="24"/>
        </w:rPr>
        <w:t xml:space="preserve">2026年02月19日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估价对象为望城名门</w:t>
      </w:r>
      <w:r>
        <w:rPr>
          <w:rFonts w:ascii="宋体" w:hAnsi="宋体"/>
          <w:sz w:val="24"/>
        </w:rPr>
        <w:t xml:space="preserve">4幢102室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小玉汽配西侧</w:t>
      </w:r>
      <w:r>
        <w:rPr>
          <w:rFonts w:hint="eastAsia" w:hAnsi="宋体"/>
          <w:sz w:val="24"/>
        </w:rPr>
        <w:t xml:space="preserve">的“望城名门”住宅区内。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小玉汽配</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莺湖路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通运石化有限公司</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京杭运河</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80.81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小玉汽配西侧</w:t>
      </w:r>
      <w:r>
        <w:rPr>
          <w:rFonts w:hint="eastAsia" w:hAnsi="宋体"/>
          <w:sz w:val="24"/>
        </w:rPr>
        <w:t xml:space="preserve">的“望城名门”住宅区内。该小区内的物业类型包括：</w:t>
      </w:r>
      <w:r>
        <w:rPr>
          <w:rFonts w:hAnsi="宋体"/>
          <w:sz w:val="24"/>
        </w:rPr>
        <w:t xml:space="preserve">普通多层、双拼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3"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24"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望城名门</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25"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“望城名门”小区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望城名门住宅2025年1月挂牌均价7400元/平方米，较年初持平。待评估二手房住宅近8个月（2024年06月-2025年01月）挂牌均价波动幅度较小，价格维持在7400-7500元/平方米之间。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均价说明：望城名门小区物业类型包括：普通多层、双拼,房源均价为:7400元/平方米，包含毛坯价值以及附带装修价值。</w:t>
      </w:r>
    </w:p>
    <w:p>
      <w:pPr>
        <w:pStyle w:val="PlainText"/>
        <w:spacing w:line="540" w:lineRule="atLeast"/>
        <w:jc w:val="center"/>
      </w:pPr>
      <w:r>
        <w:pict>
          <v:shape id="_x0000_i0009" style="height:209pt;width:312pt" o:spid="_x0000_i0026"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该房屋为6层住宅楼的第1层，建于2009年，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80.81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2025年01月31日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伍仟伍佰壹拾叁元整</w:t>
      </w:r>
      <w:r>
        <w:rPr>
          <w:rFonts w:hint="eastAsia" w:ascii="宋体" w:hAnsi="宋体"/>
          <w:b/>
          <w:bCs/>
          <w:sz w:val="24"/>
        </w:rPr>
        <w:t xml:space="preserve">（RMB </w:t>
      </w:r>
      <w:r>
        <w:rPr>
          <w:rFonts w:ascii="宋体" w:hAnsi="宋体"/>
          <w:b/>
          <w:bCs/>
          <w:sz w:val="24"/>
        </w:rPr>
        <w:t xml:space="preserve">5513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44.55</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5513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8"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0"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本次实地查勘期为2025年01月31日，并于当日完成现场查勘。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2025年01月31日</w:t>
      </w:r>
      <w:r>
        <w:rPr>
          <w:rFonts w:hint="eastAsia" w:ascii="宋体"/>
          <w:sz w:val="24"/>
        </w:rPr>
        <w:t xml:space="preserve">至2025年02月20日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估价对象为苏州市吴江区“望城名门”住宅区内的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位于通运石化有限公司东侧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通运石化有限公司东侧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附近有755路、7209路、7227路等多条公交线路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华润万家(吴江新通运店)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吴江市农村商业银行(西塘分理处)</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平望农贸市场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星宝贝幼儿园</w:t>
      </w:r>
      <w:r>
        <w:rPr>
          <w:rFonts w:hint="eastAsia" w:ascii="宋体" w:hAnsi="宋体" w:eastAsia="宋体" w:asciiTheme="minorEastAsia" w:hAnsiTheme="minorEastAsia" w:eastAsiaTheme="minorEastAsia"/>
          <w:sz w:val="24"/>
        </w:rPr>
        <w:t xml:space="preserve">、</w:t>
      </w:r>
      <w:r>
        <w:rPr>
          <w:rFonts w:hAnsi="宋体"/>
          <w:sz w:val="24"/>
        </w:rPr>
        <w:t xml:space="preserve">平望实验小学</w:t>
      </w:r>
      <w:r>
        <w:rPr>
          <w:rFonts w:hint="eastAsia" w:hAnsi="宋体"/>
          <w:sz w:val="24"/>
        </w:rPr>
        <w:t xml:space="preserve">、</w:t>
      </w:r>
      <w:r>
        <w:rPr>
          <w:rFonts w:hAnsi="宋体"/>
          <w:sz w:val="24"/>
        </w:rPr>
        <w:t xml:space="preserve">平望中学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小玉汽配</w:t>
      </w:r>
      <w:r>
        <w:rPr>
          <w:rFonts w:hint="eastAsia" w:ascii="宋体" w:hAnsi="宋体"/>
          <w:sz w:val="24"/>
        </w:rPr>
        <w:t xml:space="preserve">，南至</w:t>
      </w:r>
      <w:r>
        <w:rPr>
          <w:rFonts w:ascii="宋体" w:hAnsi="宋体"/>
          <w:sz w:val="24"/>
        </w:rPr>
        <w:t xml:space="preserve">莺湖路</w:t>
      </w:r>
      <w:r>
        <w:rPr>
          <w:rFonts w:hint="eastAsia" w:ascii="宋体" w:hAnsi="宋体"/>
          <w:sz w:val="24"/>
        </w:rPr>
        <w:t xml:space="preserve">，西至</w:t>
      </w:r>
      <w:r>
        <w:rPr>
          <w:rFonts w:ascii="宋体" w:hAnsi="宋体"/>
          <w:sz w:val="24"/>
        </w:rPr>
        <w:t xml:space="preserve">通运石化有限公司</w:t>
      </w:r>
      <w:r>
        <w:rPr>
          <w:rFonts w:hint="eastAsia" w:ascii="宋体" w:hAnsi="宋体"/>
          <w:sz w:val="24"/>
        </w:rPr>
        <w:t xml:space="preserve">，北至</w:t>
      </w:r>
      <w:r>
        <w:rPr>
          <w:rFonts w:ascii="宋体" w:hAnsi="宋体"/>
          <w:sz w:val="24"/>
        </w:rPr>
        <w:t xml:space="preserve">京杭运河</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估价对象为坐落于苏州市吴江区望城名门</w:t>
      </w:r>
      <w:r>
        <w:t xml:space="preserve"> </w:t>
      </w:r>
      <w:r>
        <w:rPr>
          <w:rFonts w:ascii="宋体" w:hAnsi="宋体"/>
          <w:kern w:val="2"/>
          <w:sz w:val="24"/>
        </w:rPr>
        <w:t xml:space="preserve">4幢102室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80.81</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两室一厅一卫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估价对象建成于2009年，基础较为稳固，未见沉降；墙面、地面、门窗等保养完好，综合保养成新度为</w:t>
      </w:r>
      <w:r>
        <w:rPr>
          <w:rFonts w:hAnsi="宋体"/>
          <w:sz w:val="24"/>
        </w:rPr>
        <w:t xml:space="preserve">八五成新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望城名门住宅2025年1月挂牌均价7400元/平方米，较年初持平。待评估二手房住宅近8个月（2024年06月-2025年01月）挂牌均价波动幅度较小，价格维持在7400-7500元/平方米之间。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29"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0"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苏州市吴江区望城名门</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s202411080173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s202407250021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F32050920240031974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F32050920240028112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吴江区平望镇望城名门4幢102室普通多层住宅标准房基准价格评估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塔影湾花苑5幢402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锦祥花园40幢206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绿杨村公寓37幢203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百盛花园3幢307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80.81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138.49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133.58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2025年01月31日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5777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5907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5833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5989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指数，吴江区2024年01月至2024年12月住宅月度价格指数表为：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2024年12月31日</w:t>
            </w:r>
          </w:p>
        </w:tc>
        <w:tc>
          <w:tcPr>
            <w:tcW w:w="778" w:type="pct"/>
            <w:shd w:val="clear" w:color="auto" w:fill="FFFFFF"/>
            <w:vAlign w:val="center"/>
          </w:tcPr>
          <w:p>
            <w:pPr>
              <w:jc w:val="center"/>
            </w:pPr>
            <w:r>
              <w:rPr>
                <w:rFonts w:hint="eastAsia" w:ascii="宋体" w:hAnsi="宋体" w:cs="宋体"/>
              </w:rPr>
              <w:t xml:space="preserve">2024年11月</w:t>
            </w:r>
          </w:p>
        </w:tc>
        <w:tc>
          <w:tcPr>
            <w:tcW w:w="779" w:type="pct"/>
            <w:shd w:val="clear" w:color="auto" w:fill="FFFFFF"/>
            <w:vAlign w:val="center"/>
          </w:tcPr>
          <w:p>
            <w:pPr>
              <w:jc w:val="center"/>
            </w:pPr>
            <w:r>
              <w:rPr>
                <w:rFonts w:hint="eastAsia" w:ascii="宋体" w:hAnsi="宋体" w:cs="宋体"/>
              </w:rPr>
              <w:t xml:space="preserve">2024年07月</w:t>
            </w:r>
          </w:p>
        </w:tc>
        <w:tc>
          <w:tcPr>
            <w:tcW w:w="779" w:type="pct"/>
            <w:shd w:val="clear" w:color="auto" w:fill="FFFFFF"/>
            <w:vAlign w:val="center"/>
          </w:tcPr>
          <w:p>
            <w:pPr>
              <w:jc w:val="center"/>
            </w:pPr>
            <w:r>
              <w:rPr>
                <w:rFonts w:hint="eastAsia" w:ascii="宋体" w:hAnsi="宋体" w:cs="宋体"/>
              </w:rPr>
              <w:t xml:space="preserve">2024年07月</w:t>
            </w:r>
          </w:p>
        </w:tc>
        <w:tc>
          <w:tcPr>
            <w:tcW w:w="779" w:type="pct"/>
            <w:shd w:val="clear" w:color="auto" w:fill="FFFFFF"/>
            <w:vAlign w:val="center"/>
          </w:tcPr>
          <w:p>
            <w:pPr>
              <w:jc w:val="center"/>
            </w:pPr>
            <w:r>
              <w:rPr>
                <w:rFonts w:hint="eastAsia" w:ascii="宋体" w:hAnsi="宋体" w:cs="宋体"/>
              </w:rPr>
              <w:t xml:space="preserve">2024年06月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5777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5907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5833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5989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1911</w:t>
            </w:r>
          </w:p>
        </w:tc>
        <w:tc>
          <w:tcPr>
            <w:tcW w:w="778" w:type="pct"/>
            <w:shd w:val="clear" w:color="auto" w:fill="FFFFFF"/>
            <w:vAlign w:val="center"/>
          </w:tcPr>
          <w:p>
            <w:pPr>
              <w:jc w:val="center"/>
            </w:pPr>
            <w:r>
              <w:rPr>
                <w:rFonts w:hint="eastAsia" w:ascii="宋体" w:hAnsi="宋体" w:cs="宋体"/>
              </w:rPr>
              <w:t xml:space="preserve">1912</w:t>
            </w:r>
          </w:p>
        </w:tc>
        <w:tc>
          <w:tcPr>
            <w:tcW w:w="779" w:type="pct"/>
            <w:shd w:val="clear" w:color="auto" w:fill="FFFFFF"/>
            <w:vAlign w:val="center"/>
          </w:tcPr>
          <w:p>
            <w:pPr>
              <w:jc w:val="center"/>
            </w:pPr>
            <w:r>
              <w:rPr>
                <w:rFonts w:hint="eastAsia" w:ascii="宋体" w:hAnsi="宋体" w:cs="宋体"/>
              </w:rPr>
              <w:t xml:space="preserve">1917</w:t>
            </w:r>
          </w:p>
        </w:tc>
        <w:tc>
          <w:tcPr>
            <w:tcW w:w="779" w:type="pct"/>
            <w:shd w:val="clear" w:color="auto" w:fill="FFFFFF"/>
            <w:vAlign w:val="center"/>
          </w:tcPr>
          <w:p>
            <w:pPr>
              <w:jc w:val="center"/>
            </w:pPr>
            <w:r>
              <w:rPr>
                <w:rFonts w:hint="eastAsia" w:ascii="宋体" w:hAnsi="宋体" w:cs="宋体"/>
              </w:rPr>
              <w:t xml:space="preserve">1917</w:t>
            </w:r>
          </w:p>
        </w:tc>
        <w:tc>
          <w:tcPr>
            <w:tcW w:w="779" w:type="pct"/>
            <w:shd w:val="clear" w:color="auto" w:fill="FFFFFF"/>
            <w:vAlign w:val="center"/>
          </w:tcPr>
          <w:p>
            <w:pPr>
              <w:jc w:val="center"/>
            </w:pPr>
            <w:r>
              <w:rPr>
                <w:rFonts w:hint="eastAsia" w:ascii="宋体" w:hAnsi="宋体" w:cs="宋体"/>
              </w:rPr>
              <w:t xml:space="preserve">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0.9995</w:t>
            </w:r>
          </w:p>
        </w:tc>
        <w:tc>
          <w:tcPr>
            <w:tcW w:w="779" w:type="pct"/>
            <w:shd w:val="clear" w:color="auto" w:fill="FFFFFF"/>
            <w:vAlign w:val="center"/>
          </w:tcPr>
          <w:p>
            <w:pPr>
              <w:jc w:val="center"/>
            </w:pPr>
            <w:r>
              <w:rPr>
                <w:rFonts w:hint="eastAsia" w:ascii="宋体" w:hAnsi="宋体" w:cs="宋体"/>
              </w:rPr>
              <w:t xml:space="preserve">0.9969</w:t>
            </w:r>
          </w:p>
        </w:tc>
        <w:tc>
          <w:tcPr>
            <w:tcW w:w="779" w:type="pct"/>
            <w:shd w:val="clear" w:color="auto" w:fill="FFFFFF"/>
            <w:vAlign w:val="center"/>
          </w:tcPr>
          <w:p>
            <w:pPr>
              <w:jc w:val="center"/>
            </w:pPr>
            <w:r>
              <w:rPr>
                <w:rFonts w:hint="eastAsia" w:ascii="宋体" w:hAnsi="宋体" w:cs="宋体"/>
              </w:rPr>
              <w:t xml:space="preserve">0.9969</w:t>
            </w:r>
          </w:p>
        </w:tc>
        <w:tc>
          <w:tcPr>
            <w:tcW w:w="779" w:type="pct"/>
            <w:shd w:val="clear" w:color="auto" w:fill="FFFFFF"/>
            <w:vAlign w:val="center"/>
          </w:tcPr>
          <w:p>
            <w:pPr>
              <w:jc w:val="center"/>
            </w:pPr>
            <w:r>
              <w:rPr>
                <w:rFonts w:hint="eastAsia" w:ascii="宋体" w:hAnsi="宋体" w:cs="宋体"/>
              </w:rPr>
              <w:t xml:space="preserve">0.9896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备注：在价值时点2025年01月31日</w:t>
      </w:r>
      <w:r>
        <w:rPr>
          <w:rFonts w:hint="eastAsia" w:ascii="宋体" w:hAnsi="宋体" w:cs="宋体"/>
          <w:sz w:val="24"/>
          <w:szCs w:val="24"/>
        </w:rPr>
        <w:t xml:space="preserve">，2025年01月份价格指数尚未公布，本次估价采用2024年12月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1"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442452829"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吴江区平望镇望城名门4幢102室普通多层住宅标准房基准价格评估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塔影湾花苑5幢402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锦祥花园40幢206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绿杨村公寓37幢203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百盛花园3幢307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80.81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133.58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0.9032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5777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5989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5190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5292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5758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5812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5777</w:t>
            </w:r>
          </w:p>
        </w:tc>
        <w:tc>
          <w:tcPr>
            <w:tcW w:w="922" w:type="pct"/>
            <w:shd w:val="clear" w:color="auto" w:fill="auto"/>
            <w:vAlign w:val="center"/>
          </w:tcPr>
          <w:p>
            <w:pPr>
              <w:jc w:val="center"/>
              <w:rPr>
                <w:rFonts w:ascii="宋体" w:hAnsi="宋体" w:cs="宋体"/>
              </w:rPr>
            </w:pPr>
            <w:r>
              <w:rPr>
                <w:rFonts w:hint="eastAsia" w:ascii="宋体" w:hAnsi="宋体" w:cs="宋体"/>
              </w:rPr>
              <w:t xml:space="preserve">5907</w:t>
            </w:r>
          </w:p>
        </w:tc>
        <w:tc>
          <w:tcPr>
            <w:tcW w:w="922" w:type="pct"/>
            <w:shd w:val="clear" w:color="auto" w:fill="auto"/>
            <w:vAlign w:val="center"/>
          </w:tcPr>
          <w:p>
            <w:pPr>
              <w:jc w:val="center"/>
              <w:rPr>
                <w:rFonts w:ascii="宋体" w:hAnsi="宋体" w:cs="宋体"/>
              </w:rPr>
            </w:pPr>
            <w:r>
              <w:rPr>
                <w:rFonts w:hint="eastAsia" w:ascii="宋体" w:hAnsi="宋体" w:cs="宋体"/>
              </w:rPr>
              <w:t xml:space="preserve">5833</w:t>
            </w:r>
          </w:p>
        </w:tc>
        <w:tc>
          <w:tcPr>
            <w:tcW w:w="922" w:type="pct"/>
            <w:shd w:val="clear" w:color="auto" w:fill="auto"/>
            <w:vAlign w:val="center"/>
          </w:tcPr>
          <w:p>
            <w:pPr>
              <w:jc w:val="center"/>
              <w:rPr>
                <w:rFonts w:ascii="宋体" w:hAnsi="宋体" w:cs="宋体"/>
              </w:rPr>
            </w:pPr>
            <w:r>
              <w:rPr>
                <w:rFonts w:hint="eastAsia" w:ascii="宋体" w:hAnsi="宋体" w:cs="宋体"/>
              </w:rPr>
              <w:t xml:space="preserve">5989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0.9995</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101/112.93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101/111.82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0.8984</w:t>
            </w:r>
          </w:p>
        </w:tc>
        <w:tc>
          <w:tcPr>
            <w:tcW w:w="922" w:type="pct"/>
            <w:shd w:val="clear" w:color="auto" w:fill="auto"/>
            <w:vAlign w:val="center"/>
          </w:tcPr>
          <w:p>
            <w:pPr>
              <w:jc w:val="center"/>
              <w:rPr>
                <w:rFonts w:ascii="宋体" w:hAnsi="宋体" w:cs="宋体"/>
              </w:rPr>
            </w:pPr>
            <w:r>
              <w:rPr>
                <w:rFonts w:hint="eastAsia" w:ascii="宋体" w:hAnsi="宋体" w:cs="宋体"/>
              </w:rPr>
              <w:t xml:space="preserve">0.8959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0.9704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5190</w:t>
            </w:r>
          </w:p>
        </w:tc>
        <w:tc>
          <w:tcPr>
            <w:tcW w:w="922" w:type="pct"/>
            <w:shd w:val="clear" w:color="auto" w:fill="auto"/>
            <w:vAlign w:val="center"/>
          </w:tcPr>
          <w:p>
            <w:pPr>
              <w:jc w:val="center"/>
              <w:rPr>
                <w:rFonts w:ascii="宋体" w:hAnsi="宋体" w:cs="宋体"/>
              </w:rPr>
            </w:pPr>
            <w:r>
              <w:rPr>
                <w:rFonts w:hint="eastAsia" w:ascii="宋体" w:hAnsi="宋体" w:cs="宋体"/>
              </w:rPr>
              <w:t xml:space="preserve">5292</w:t>
            </w:r>
          </w:p>
        </w:tc>
        <w:tc>
          <w:tcPr>
            <w:tcW w:w="922" w:type="pct"/>
            <w:shd w:val="clear" w:color="auto" w:fill="auto"/>
            <w:vAlign w:val="center"/>
          </w:tcPr>
          <w:p>
            <w:pPr>
              <w:jc w:val="center"/>
              <w:rPr>
                <w:rFonts w:ascii="宋体" w:hAnsi="宋体" w:cs="宋体"/>
              </w:rPr>
            </w:pPr>
            <w:r>
              <w:rPr>
                <w:rFonts w:hint="eastAsia" w:ascii="宋体" w:hAnsi="宋体" w:cs="宋体"/>
              </w:rPr>
              <w:t xml:space="preserve">5758</w:t>
            </w:r>
          </w:p>
        </w:tc>
        <w:tc>
          <w:tcPr>
            <w:tcW w:w="922" w:type="pct"/>
            <w:shd w:val="clear" w:color="auto" w:fill="auto"/>
            <w:vAlign w:val="center"/>
          </w:tcPr>
          <w:p>
            <w:pPr>
              <w:jc w:val="center"/>
              <w:rPr>
                <w:rFonts w:ascii="宋体" w:hAnsi="宋体" w:cs="宋体"/>
              </w:rPr>
            </w:pPr>
            <w:r>
              <w:rPr>
                <w:rFonts w:hint="eastAsia" w:ascii="宋体" w:hAnsi="宋体" w:cs="宋体"/>
              </w:rPr>
              <w:t xml:space="preserve">5812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5190</w:t>
            </w:r>
          </w:p>
        </w:tc>
        <w:tc>
          <w:tcPr>
            <w:tcW w:w="922" w:type="pct"/>
            <w:shd w:val="clear" w:color="auto" w:fill="auto"/>
            <w:vAlign w:val="center"/>
          </w:tcPr>
          <w:p>
            <w:pPr>
              <w:jc w:val="center"/>
              <w:rPr>
                <w:rFonts w:ascii="宋体" w:hAnsi="宋体" w:cs="宋体"/>
              </w:rPr>
            </w:pPr>
            <w:r>
              <w:rPr>
                <w:rFonts w:hint="eastAsia" w:ascii="宋体" w:hAnsi="宋体" w:cs="宋体"/>
              </w:rPr>
              <w:t xml:space="preserve">5292</w:t>
            </w:r>
          </w:p>
        </w:tc>
        <w:tc>
          <w:tcPr>
            <w:tcW w:w="922" w:type="pct"/>
            <w:shd w:val="clear" w:color="auto" w:fill="auto"/>
            <w:vAlign w:val="center"/>
          </w:tcPr>
          <w:p>
            <w:pPr>
              <w:jc w:val="center"/>
              <w:rPr>
                <w:rFonts w:ascii="宋体" w:hAnsi="宋体" w:cs="宋体"/>
              </w:rPr>
            </w:pPr>
            <w:r>
              <w:rPr>
                <w:rFonts w:hint="eastAsia" w:ascii="宋体" w:hAnsi="宋体" w:cs="宋体"/>
              </w:rPr>
              <w:t xml:space="preserve">5758</w:t>
            </w:r>
          </w:p>
        </w:tc>
        <w:tc>
          <w:tcPr>
            <w:tcW w:w="922" w:type="pct"/>
            <w:shd w:val="clear" w:color="auto" w:fill="auto"/>
            <w:vAlign w:val="center"/>
          </w:tcPr>
          <w:p>
            <w:pPr>
              <w:jc w:val="center"/>
              <w:rPr>
                <w:rFonts w:ascii="宋体" w:hAnsi="宋体" w:cs="宋体"/>
              </w:rPr>
            </w:pPr>
            <w:r>
              <w:rPr>
                <w:rFonts w:hint="eastAsia" w:ascii="宋体" w:hAnsi="宋体" w:cs="宋体"/>
              </w:rPr>
              <w:t xml:space="preserve">5812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5513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s202411080173</w:t>
            </w:r>
          </w:p>
        </w:tc>
        <w:tc>
          <w:tcPr>
            <w:tcW w:w="1842" w:type="dxa"/>
            <w:vAlign w:val="center"/>
          </w:tcPr>
          <w:p>
            <w:pPr>
              <w:jc w:val="center"/>
            </w:pPr>
            <w:r>
              <w:rPr>
                <w:rFonts w:hint="eastAsia" w:ascii="宋体" w:hAnsi="宋体" w:cs="宋体"/>
              </w:rPr>
              <w:t xml:space="preserve">s202407250021</w:t>
            </w:r>
          </w:p>
        </w:tc>
        <w:tc>
          <w:tcPr>
            <w:tcW w:w="1843" w:type="dxa"/>
            <w:vAlign w:val="center"/>
          </w:tcPr>
          <w:p>
            <w:pPr>
              <w:jc w:val="center"/>
            </w:pPr>
            <w:r>
              <w:rPr>
                <w:rFonts w:hint="eastAsia" w:ascii="宋体" w:hAnsi="宋体" w:cs="宋体"/>
              </w:rPr>
              <w:t xml:space="preserve">F32050920240031974</w:t>
            </w:r>
          </w:p>
        </w:tc>
        <w:tc>
          <w:tcPr>
            <w:tcW w:w="1985" w:type="dxa"/>
            <w:vAlign w:val="center"/>
          </w:tcPr>
          <w:p>
            <w:pPr>
              <w:jc w:val="center"/>
            </w:pPr>
            <w:r>
              <w:rPr>
                <w:rFonts w:hint="eastAsia" w:ascii="宋体" w:hAnsi="宋体" w:cs="宋体"/>
              </w:rPr>
              <w:t xml:space="preserve">F32050920240028112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塔影湾花苑5幢402</w:t>
            </w:r>
          </w:p>
        </w:tc>
        <w:tc>
          <w:tcPr>
            <w:tcW w:w="1842" w:type="dxa"/>
            <w:vAlign w:val="center"/>
          </w:tcPr>
          <w:p>
            <w:pPr>
              <w:jc w:val="center"/>
            </w:pPr>
            <w:r>
              <w:rPr>
                <w:rFonts w:hint="eastAsia" w:ascii="宋体" w:hAnsi="宋体" w:cs="宋体"/>
              </w:rPr>
              <w:t xml:space="preserve">锦祥花园40幢206</w:t>
            </w:r>
          </w:p>
        </w:tc>
        <w:tc>
          <w:tcPr>
            <w:tcW w:w="1843" w:type="dxa"/>
            <w:vAlign w:val="center"/>
          </w:tcPr>
          <w:p>
            <w:pPr>
              <w:jc w:val="center"/>
            </w:pPr>
            <w:r>
              <w:rPr>
                <w:rFonts w:hint="eastAsia" w:ascii="宋体" w:hAnsi="宋体" w:cs="宋体"/>
              </w:rPr>
              <w:t xml:space="preserve">绿杨村公寓37幢203</w:t>
            </w:r>
          </w:p>
        </w:tc>
        <w:tc>
          <w:tcPr>
            <w:tcW w:w="1985" w:type="dxa"/>
            <w:vAlign w:val="center"/>
          </w:tcPr>
          <w:p>
            <w:pPr>
              <w:jc w:val="center"/>
            </w:pPr>
            <w:r>
              <w:rPr>
                <w:rFonts w:hint="eastAsia" w:ascii="宋体" w:hAnsi="宋体" w:cs="宋体"/>
              </w:rPr>
              <w:t xml:space="preserve">百盛花园3幢307</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塔影湾花苑5幢402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3"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锦祥花园40幢206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3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35"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绿杨村公寓37幢203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36"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37"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百盛花园3幢307</w:t>
      </w:r>
      <w:r>
        <w:rPr>
          <w:rFonts w:hint="eastAsia" w:ascii="宋体" w:hAnsi="宋体"/>
          <w:sz w:val="21"/>
          <w:szCs w:val="21"/>
        </w:rPr>
        <w:t xml:space="preserve">）</w:t>
      </w:r>
    </w:p>
    <w:sectPr>
      <w:pgSz w:w="11906" w:h="16838" w:orient="portrait"/>
      <w:pgMar w:top="1440" w:right="1800" w:bottom="1440" w:left="1800" w:header="720" w:footer="720" w:gutter="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panose1 w:val="0201060903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2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theme" Target="theme/theme1.xml" /><Relationship Id="rId21" Type="http://schemas.openxmlformats.org/officeDocument/2006/relationships/styles" Target="styles.xml" /><Relationship Id="rId22" Type="http://schemas.openxmlformats.org/officeDocument/2006/relationships/webSettings" Target="webSettings.xml" /><Relationship Id="rId23" Type="http://schemas.openxmlformats.org/officeDocument/2006/relationships/numbering" Target="numbering.xml" /><Relationship Id="rId24" Type="http://schemas.openxmlformats.org/officeDocument/2006/relationships/fontTable" Target="fontTable.xml" /><Relationship Id="rId25" Type="http://schemas.openxmlformats.org/officeDocument/2006/relationships/settings" Target="settings.xml" /><Relationship Id="rId3" Type="http://schemas.openxmlformats.org/officeDocument/2006/relationships/footer" Target="footer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eyJoZGlkIjoiNDAwMjZjNWRhNmM4MmY4NmVmNGM4YTIxMWJkNDdhZGYiLCJ1c2VySWQiOiIxMjAyMzMxODQ5In0_x003D_</vt:lpwstr>
  </property>
</Properties>
</file>