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r>
        <w:rPr>
          <w:color w:val="FF0000"/>
          <w:sz w:val="24"/>
        </w:rPr>
        <w:t xml:space="preserve"/>
      </w:r>
    </w:p>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苏吴地评税字(2025)吴江第00137号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金鼎路金鑫路普通多层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2025年02月20日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fldChar w:fldCharType="begin"/>
      </w:r>
      <w: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5"/>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估价对象位于苏州市吴江区区域范围内的金鼎路金鑫路住宅小区普通多层存量房。该小区内的物业类型包括：</w:t>
      </w:r>
      <w:r>
        <w:rPr>
          <w:rFonts w:ascii="宋体"/>
          <w:sz w:val="24"/>
        </w:rPr>
        <w:t xml:space="preserve">独栋、普通多层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月修订版），结合估价人员现场查勘，选取金鼎路金鑫路</w:t>
      </w:r>
      <w:r>
        <w:rPr>
          <w:rFonts w:ascii="宋体"/>
          <w:sz w:val="24"/>
        </w:rPr>
        <w:t xml:space="preserve">3幢102</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91.9</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2025年01月31日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2025年01月31日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肆仟零捌拾贰元整</w:t>
      </w:r>
      <w:r>
        <w:rPr>
          <w:rFonts w:hint="eastAsia" w:ascii="宋体" w:hAnsi="宋体"/>
          <w:b/>
          <w:bCs/>
          <w:sz w:val="24"/>
        </w:rPr>
        <w:t xml:space="preserve">（RMB</w:t>
      </w:r>
      <w:r>
        <w:rPr>
          <w:rFonts w:ascii="宋体" w:hAnsi="宋体"/>
          <w:b/>
          <w:bCs/>
          <w:sz w:val="24"/>
        </w:rPr>
        <w:t xml:space="preserve"> 4082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2025年02月20日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6"/>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2025年02月20日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6"/>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 2 \* GB3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5.本报告作为整体使用时有效。若房地产市场无重大波动，本估价报告自出具日起一年内有效，从2025年02月20日至</w:t>
      </w:r>
      <w:r>
        <w:rPr>
          <w:rFonts w:ascii="宋体" w:hAnsi="宋体"/>
          <w:sz w:val="24"/>
        </w:rPr>
        <w:t xml:space="preserve">2026年02月19日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估价对象为金鼎路金鑫路</w:t>
      </w:r>
      <w:r>
        <w:rPr>
          <w:rFonts w:ascii="宋体" w:hAnsi="宋体"/>
          <w:sz w:val="24"/>
        </w:rPr>
        <w:t xml:space="preserve">3幢102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金贤路西侧</w:t>
      </w:r>
      <w:r>
        <w:rPr>
          <w:rFonts w:hint="eastAsia" w:hAnsi="宋体"/>
          <w:sz w:val="24"/>
        </w:rPr>
        <w:t xml:space="preserve">的“金鼎路金鑫路”住宅区内。</w:t>
      </w:r>
      <w:r>
        <w:rPr>
          <w:rFonts w:hint="eastAsia" w:ascii="宋体" w:hAnsi="宋体"/>
          <w:sz w:val="24"/>
        </w:rPr>
        <w:t xml:space="preserve">估价对象</w:t>
      </w:r>
      <w:r>
        <w:rPr>
          <w:rFonts w:hint="eastAsia" w:ascii="宋体" w:hAnsi="宋体"/>
          <w:sz w:val="24"/>
          <w:lang w:val="en-US" w:eastAsia="zh-CN"/>
        </w:rPr>
        <w:t xml:space="preserve">所在小区</w:t>
      </w:r>
      <w:r>
        <w:rPr>
          <w:rFonts w:hint="eastAsia" w:ascii="宋体" w:hAnsi="宋体"/>
          <w:sz w:val="24"/>
        </w:rPr>
        <w:t xml:space="preserve">东至</w:t>
      </w:r>
      <w:r>
        <w:rPr>
          <w:rFonts w:ascii="宋体" w:hAnsi="宋体"/>
          <w:sz w:val="24"/>
          <w:szCs w:val="24"/>
        </w:rPr>
        <w:t xml:space="preserve">金贤路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金长路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金康路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金梅路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91.9</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金贤路西侧</w:t>
      </w:r>
      <w:r>
        <w:rPr>
          <w:rFonts w:hint="eastAsia" w:hAnsi="宋体"/>
          <w:sz w:val="24"/>
        </w:rPr>
        <w:t xml:space="preserve">的“金鼎路金鑫路”住宅区内。该小区内的物业类型包括：</w:t>
      </w:r>
      <w:r>
        <w:rPr>
          <w:rFonts w:hAnsi="宋体"/>
          <w:sz w:val="24"/>
        </w:rPr>
        <w:t xml:space="preserve">独栋、普通多层</w:t>
      </w:r>
      <w:r>
        <w:rPr>
          <w:rFonts w:hint="eastAsia" w:hAnsi="宋体"/>
          <w:sz w:val="24"/>
        </w:rPr>
        <w:t xml:space="preserve">，小区内水、电、气、有线电视等基础设施配套齐全，附近有学校、超市、菜场，商业、服务网点齐全，附近有公交站台，生活较方便。</w:t>
      </w:r>
    </w:p>
    <w:tbl>
      <w:tblPr>
        <w:tblStyle w:val="TableNormal"/>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9"/>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10"/>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金鼎路金鑫路</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11"/>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“金鼎路金鑫路”小区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由于金鼎路金鑫路市场交易不活跃，片区内可选案例较少，因此选择的案例A，B，C，D，距离在3公里以外。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2"/>
          </v:shape>
        </w:pict>
      </w:r>
    </w:p>
    <w:p>
      <w:pPr>
        <w:pStyle w:val="PlainText"/>
        <w:spacing w:line="540" w:lineRule="atLeast"/>
        <w:ind w:firstLine="480" w:firstLineChars="200"/>
        <w:jc w:val="left"/>
      </w:pPr>
      <w:r>
        <w:rPr>
          <w:rFonts w:hint="eastAsia" w:hAnsi="宋体"/>
          <w:sz w:val="24"/>
        </w:rPr>
        <w:t xml:space="preserve">由于金鼎路金鑫路幢数较少且大多为别墅，市场交易不活跃，各大网站均无法获取其交易信息。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该房屋为4层住宅楼的第1层，建于1998年，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91.9</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2025年01月31日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hint="eastAsia"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40" w:lineRule="exact"/>
        <w:ind w:firstLine="480" w:firstLineChars="200"/>
        <w:jc w:val="both"/>
        <w:rPr>
          <w:rFonts w:hint="eastAsia" w:ascii="宋体"/>
          <w:sz w:val="24"/>
        </w:rPr>
      </w:pPr>
      <w:r>
        <w:rPr>
          <w:rFonts w:hint="eastAsia" w:ascii="宋体"/>
          <w:sz w:val="24"/>
        </w:rPr>
        <w:t xml:space="preserve">1.6</w:t>
      </w:r>
      <w:r>
        <w:rPr>
          <w:rFonts w:ascii="宋体"/>
          <w:sz w:val="24"/>
        </w:rPr>
        <w:t xml:space="preserve">《中华人民共和国资产评估法》；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肆仟零捌拾贰元整</w:t>
      </w:r>
      <w:r>
        <w:rPr>
          <w:rFonts w:hint="eastAsia" w:ascii="宋体" w:hAnsi="宋体"/>
          <w:b/>
          <w:bCs/>
          <w:sz w:val="24"/>
        </w:rPr>
        <w:t xml:space="preserve">（RMB </w:t>
      </w:r>
      <w:r>
        <w:rPr>
          <w:rFonts w:ascii="宋体" w:hAnsi="宋体"/>
          <w:b/>
          <w:bCs/>
          <w:sz w:val="24"/>
        </w:rPr>
        <w:t xml:space="preserve">4082</w:t>
      </w:r>
      <w:r>
        <w:rPr>
          <w:rFonts w:hint="eastAsia" w:ascii="宋体" w:hAnsi="宋体"/>
          <w:b/>
          <w:bCs/>
          <w:sz w:val="24"/>
        </w:rPr>
        <w:t xml:space="preserve">元/平方米）。</w:t>
      </w:r>
    </w:p>
    <w:tbl>
      <w:tblPr>
        <w:tblStyle w:val="TableNormal"/>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37.51</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4082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TableNormal"/>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7"/>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2025年02月20日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8"/>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2025年02月20日</w:t>
            </w:r>
          </w:p>
        </w:tc>
      </w:tr>
    </w:tbl>
    <w:p>
      <w:pPr>
        <w:widowControl w:val="0"/>
        <w:spacing w:line="520" w:lineRule="exact"/>
        <w:rPr>
          <w:rFonts w:ascii="黑体" w:eastAsia="黑体"/>
          <w:sz w:val="24"/>
        </w:rPr>
      </w:pPr>
      <w:r>
        <w:rPr>
          <w:rFonts w:hint="eastAsia" w:ascii="黑体" w:eastAsia="黑体"/>
          <w:sz w:val="24"/>
        </w:rPr>
        <w:t xml:space="preserve">十二、实地</w:t>
      </w:r>
      <w:r>
        <w:rPr>
          <w:rFonts w:hint="eastAsia" w:ascii="黑体" w:eastAsia="黑体"/>
          <w:sz w:val="24"/>
          <w:lang w:val="en-US" w:eastAsia="zh-CN"/>
        </w:rPr>
        <w:t xml:space="preserve">查勘</w:t>
      </w:r>
      <w:r>
        <w:rPr>
          <w:rFonts w:hint="eastAsia" w:ascii="黑体" w:eastAsia="黑体"/>
          <w:sz w:val="24"/>
        </w:rPr>
        <w:t xml:space="preserve">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本次实地查勘期为2025年01月31日，并于当日完成现场查勘。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2025年01月31日</w:t>
      </w:r>
      <w:r>
        <w:rPr>
          <w:rFonts w:hint="eastAsia" w:ascii="宋体"/>
          <w:sz w:val="24"/>
        </w:rPr>
        <w:t xml:space="preserve">至2025年02月20日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估价对象为苏州市吴江区“金鼎路金鑫路”住宅区内的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位于金康路东侧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金康路东侧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附近有7315路公交线路</w:t>
      </w:r>
      <w:r>
        <w:rPr>
          <w:rFonts w:hint="eastAsia" w:hAnsi="宋体"/>
          <w:sz w:val="24"/>
        </w:rPr>
        <w:t xml:space="preserve">，</w:t>
      </w:r>
      <w:r>
        <w:rPr>
          <w:rFonts w:hAnsi="宋体"/>
          <w:sz w:val="24"/>
        </w:rPr>
        <w:t xml:space="preserve">至公交站点的距离约为280米，公交班次平均隔10分钟有一辆汽车通过。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吴江联华超市(金贤路)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中国邮政储蓄银行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金家坝镇集贸服务中心</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金家坝中心幼儿园</w:t>
      </w:r>
      <w:r>
        <w:rPr>
          <w:rFonts w:hint="eastAsia" w:ascii="宋体" w:hAnsi="宋体" w:eastAsia="宋体" w:asciiTheme="minorEastAsia" w:hAnsiTheme="minorEastAsia" w:eastAsiaTheme="minorEastAsia"/>
          <w:sz w:val="24"/>
        </w:rPr>
        <w:t xml:space="preserve">、</w:t>
      </w:r>
      <w:r>
        <w:rPr>
          <w:rFonts w:hAnsi="宋体"/>
          <w:sz w:val="24"/>
        </w:rPr>
        <w:t xml:space="preserve">金家坝中心小学</w:t>
      </w:r>
      <w:r>
        <w:rPr>
          <w:rFonts w:hint="eastAsia" w:hAnsi="宋体"/>
          <w:sz w:val="24"/>
        </w:rPr>
        <w:t xml:space="preserve">、</w:t>
      </w:r>
      <w:r>
        <w:rPr>
          <w:rFonts w:hAnsi="宋体"/>
          <w:sz w:val="24"/>
        </w:rPr>
        <w:t xml:space="preserve">金家坝中学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w:t>
      </w:r>
      <w:r>
        <w:rPr>
          <w:rFonts w:hint="eastAsia" w:ascii="宋体" w:hAnsi="宋体"/>
          <w:sz w:val="24"/>
          <w:lang w:val="en-US" w:eastAsia="zh-CN"/>
        </w:rPr>
        <w:t xml:space="preserve">所在小区</w:t>
      </w:r>
      <w:bookmarkStart w:name="_GoBack" w:id="10"/>
      <w:bookmarkEnd w:id="10"/>
      <w:r>
        <w:rPr>
          <w:rFonts w:hint="eastAsia" w:ascii="宋体" w:hAnsi="宋体"/>
          <w:sz w:val="24"/>
        </w:rPr>
        <w:t xml:space="preserve">东至</w:t>
      </w:r>
      <w:r>
        <w:rPr>
          <w:rFonts w:ascii="宋体" w:hAnsi="宋体"/>
          <w:sz w:val="24"/>
        </w:rPr>
        <w:t xml:space="preserve">金贤路</w:t>
      </w:r>
      <w:r>
        <w:rPr>
          <w:rFonts w:hint="eastAsia" w:ascii="宋体" w:hAnsi="宋体"/>
          <w:sz w:val="24"/>
        </w:rPr>
        <w:t xml:space="preserve">，南至</w:t>
      </w:r>
      <w:r>
        <w:rPr>
          <w:rFonts w:ascii="宋体" w:hAnsi="宋体"/>
          <w:sz w:val="24"/>
        </w:rPr>
        <w:t xml:space="preserve">金长路</w:t>
      </w:r>
      <w:r>
        <w:rPr>
          <w:rFonts w:hint="eastAsia" w:ascii="宋体" w:hAnsi="宋体"/>
          <w:sz w:val="24"/>
        </w:rPr>
        <w:t xml:space="preserve">，西至</w:t>
      </w:r>
      <w:r>
        <w:rPr>
          <w:rFonts w:ascii="宋体" w:hAnsi="宋体"/>
          <w:sz w:val="24"/>
        </w:rPr>
        <w:t xml:space="preserve">金康路</w:t>
      </w:r>
      <w:r>
        <w:rPr>
          <w:rFonts w:hint="eastAsia" w:ascii="宋体" w:hAnsi="宋体"/>
          <w:sz w:val="24"/>
        </w:rPr>
        <w:t xml:space="preserve">，北至</w:t>
      </w:r>
      <w:r>
        <w:rPr>
          <w:rFonts w:ascii="宋体" w:hAnsi="宋体"/>
          <w:sz w:val="24"/>
        </w:rPr>
        <w:t xml:space="preserve">金梅路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估价对象为坐落于苏州市吴江区金鼎路金鑫路</w:t>
      </w:r>
      <w:r>
        <w:t xml:space="preserve"> </w:t>
      </w:r>
      <w:r>
        <w:rPr>
          <w:rFonts w:ascii="宋体" w:hAnsi="宋体"/>
          <w:kern w:val="2"/>
          <w:sz w:val="24"/>
        </w:rPr>
        <w:t xml:space="preserve">3幢102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91.9</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3层数、层高：估价对象位于总楼层为4层的第1层，层高约2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开放式物业管理，无小区门卫，无保安巡逻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估价对象建成于1998年，基础较为稳固，未见沉降；墙面、地面、门窗等保养完好，综合保养成新度为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1"/>
      <w:bookmarkStart w:name="_Hlk159245597" w:id="12"/>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1"/>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2"/>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TableNormal"/>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3"/>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3"/>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4"/>
      <w:bookmarkStart w:name="_Hlk38977133" w:id="15"/>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4"/>
      <w:r>
        <w:rPr>
          <w:rFonts w:ascii="宋体" w:hAnsi="宋体"/>
          <w:sz w:val="24"/>
          <w:szCs w:val="24"/>
        </w:rPr>
        <w:t xml:space="preserve">。</w:t>
      </w:r>
      <w:bookmarkEnd w:id="15"/>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由于金鼎路金鑫路幢数较少且大多为别墅，市场交易不活跃，各大网站均无法获取其交易信息。</w:t>
      </w:r>
    </w:p>
    <w:tbl>
      <w:tblPr>
        <w:tblStyle w:val="TableNormal"/>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3"/>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2"/>
                </v:shape>
              </w:pict>
            </w:r>
            <w:r>
              <w:rPr>
                <w:rFonts w:hint="eastAsia" w:ascii="宋体" w:hAnsi="宋体" w:eastAsia="宋体" w:asciiTheme="minorEastAsia" w:hAnsiTheme="minorEastAsia" w:eastAsiaTheme="minorEastAsia"/>
                <w:sz w:val="24"/>
                <w:szCs w:val="24"/>
              </w:rPr>
              <w:t xml:space="preserve">由于金鼎路金鑫路幢数较少且大多为别墅，市场交易不活跃，各大网站均无法获取其交易信息与一手房销售备案价格。</w: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苏州市吴江区金鼎路金鑫路</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TableNormal"/>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F32050920240045586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s202411050221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F32050920240042578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F32050920240030397</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吴江区黎里镇金鼎路金鑫路3幢102普通多层住宅标准房基准价格评估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镇南新村5幢203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华丰丽景花园17幢504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贯前人家2幢208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平西新村3幢102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五等（4）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2025年01月31日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4325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4445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4430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指数，吴江区2024年01月至2024年12月住宅月度价格指数表为：</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358"/>
        <w:gridCol w:w="1716"/>
        <w:gridCol w:w="1816"/>
        <w:gridCol w:w="1816"/>
        <w:gridCol w:w="181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TableNormal"/>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2024年12月31日</w:t>
            </w:r>
          </w:p>
        </w:tc>
        <w:tc>
          <w:tcPr>
            <w:tcW w:w="778" w:type="pct"/>
            <w:shd w:val="clear" w:color="auto" w:fill="FFFFFF"/>
            <w:vAlign w:val="center"/>
          </w:tcPr>
          <w:p>
            <w:pPr>
              <w:jc w:val="center"/>
            </w:pPr>
            <w:r>
              <w:rPr>
                <w:rFonts w:hint="eastAsia" w:ascii="宋体" w:hAnsi="宋体" w:cs="宋体"/>
              </w:rPr>
              <w:t xml:space="preserve">2024年10月</w:t>
            </w:r>
          </w:p>
        </w:tc>
        <w:tc>
          <w:tcPr>
            <w:tcW w:w="779" w:type="pct"/>
            <w:shd w:val="clear" w:color="auto" w:fill="FFFFFF"/>
            <w:vAlign w:val="center"/>
          </w:tcPr>
          <w:p>
            <w:pPr>
              <w:jc w:val="center"/>
            </w:pPr>
            <w:r>
              <w:rPr>
                <w:rFonts w:hint="eastAsia" w:ascii="宋体" w:hAnsi="宋体" w:cs="宋体"/>
              </w:rPr>
              <w:t xml:space="preserve">2024年11月</w:t>
            </w:r>
          </w:p>
        </w:tc>
        <w:tc>
          <w:tcPr>
            <w:tcW w:w="779" w:type="pct"/>
            <w:shd w:val="clear" w:color="auto" w:fill="FFFFFF"/>
            <w:vAlign w:val="center"/>
          </w:tcPr>
          <w:p>
            <w:pPr>
              <w:jc w:val="center"/>
            </w:pPr>
            <w:r>
              <w:rPr>
                <w:rFonts w:hint="eastAsia" w:ascii="宋体" w:hAnsi="宋体" w:cs="宋体"/>
              </w:rPr>
              <w:t xml:space="preserve">2024年09月</w:t>
            </w:r>
          </w:p>
        </w:tc>
        <w:tc>
          <w:tcPr>
            <w:tcW w:w="779" w:type="pct"/>
            <w:shd w:val="clear" w:color="auto" w:fill="FFFFFF"/>
            <w:vAlign w:val="center"/>
          </w:tcPr>
          <w:p>
            <w:pPr>
              <w:jc w:val="center"/>
            </w:pPr>
            <w:r>
              <w:rPr>
                <w:rFonts w:hint="eastAsia" w:ascii="宋体" w:hAnsi="宋体" w:cs="宋体"/>
              </w:rPr>
              <w:t xml:space="preserve">2024年06月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4325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4582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4445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4430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1911</w:t>
            </w:r>
          </w:p>
        </w:tc>
        <w:tc>
          <w:tcPr>
            <w:tcW w:w="778" w:type="pct"/>
            <w:shd w:val="clear" w:color="auto" w:fill="FFFFFF"/>
            <w:vAlign w:val="center"/>
          </w:tcPr>
          <w:p>
            <w:pPr>
              <w:jc w:val="center"/>
            </w:pPr>
            <w:r>
              <w:rPr>
                <w:rFonts w:hint="eastAsia" w:ascii="宋体" w:hAnsi="宋体" w:cs="宋体"/>
              </w:rPr>
              <w:t xml:space="preserve">1919</w:t>
            </w:r>
          </w:p>
        </w:tc>
        <w:tc>
          <w:tcPr>
            <w:tcW w:w="779" w:type="pct"/>
            <w:shd w:val="clear" w:color="auto" w:fill="FFFFFF"/>
            <w:vAlign w:val="center"/>
          </w:tcPr>
          <w:p>
            <w:pPr>
              <w:jc w:val="center"/>
            </w:pPr>
            <w:r>
              <w:rPr>
                <w:rFonts w:hint="eastAsia" w:ascii="宋体" w:hAnsi="宋体" w:cs="宋体"/>
              </w:rPr>
              <w:t xml:space="preserve">1912</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1911/1931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0.9958</w:t>
            </w:r>
          </w:p>
        </w:tc>
        <w:tc>
          <w:tcPr>
            <w:tcW w:w="779" w:type="pct"/>
            <w:shd w:val="clear" w:color="auto" w:fill="FFFFFF"/>
            <w:vAlign w:val="center"/>
          </w:tcPr>
          <w:p>
            <w:pPr>
              <w:jc w:val="center"/>
            </w:pPr>
            <w:r>
              <w:rPr>
                <w:rFonts w:hint="eastAsia" w:ascii="宋体" w:hAnsi="宋体" w:cs="宋体"/>
              </w:rPr>
              <w:t xml:space="preserve">0.9995</w:t>
            </w:r>
          </w:p>
        </w:tc>
        <w:tc>
          <w:tcPr>
            <w:tcW w:w="779" w:type="pct"/>
            <w:shd w:val="clear" w:color="auto" w:fill="FFFFFF"/>
            <w:vAlign w:val="center"/>
          </w:tcPr>
          <w:p>
            <w:pPr>
              <w:jc w:val="center"/>
            </w:pPr>
            <w:r>
              <w:rPr>
                <w:rFonts w:hint="eastAsia" w:ascii="宋体" w:hAnsi="宋体" w:cs="宋体"/>
              </w:rPr>
              <w:t xml:space="preserve">0.9896</w:t>
            </w:r>
          </w:p>
        </w:tc>
        <w:tc>
          <w:tcPr>
            <w:tcW w:w="779" w:type="pct"/>
            <w:shd w:val="clear" w:color="auto" w:fill="FFFFFF"/>
            <w:vAlign w:val="center"/>
          </w:tcPr>
          <w:p>
            <w:pPr>
              <w:jc w:val="center"/>
            </w:pPr>
            <w:r>
              <w:rPr>
                <w:rFonts w:hint="eastAsia" w:ascii="宋体" w:hAnsi="宋体" w:cs="宋体"/>
              </w:rPr>
              <w:t xml:space="preserve">0.9896</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备注：在价值时点2025年01月31日</w:t>
      </w:r>
      <w:r>
        <w:rPr>
          <w:rFonts w:hint="eastAsia" w:ascii="宋体" w:hAnsi="宋体" w:cs="宋体"/>
          <w:sz w:val="24"/>
          <w:szCs w:val="24"/>
        </w:rPr>
        <w:t xml:space="preserve">，2025年01月份价格指数尚未公布，本次估价采用2024年12月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TableNormal"/>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2"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4"/>
            <o:lock v:ext="edit" aspectratio="t"/>
            <w10:anchorlock/>
          </v:shape>
          <o:OLEObject Type="Embed" ProgID="Equation.3" ShapeID="_x0000_i0003" DrawAspect="Content" ObjectID="_818200948" r:id="rId15"/>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EQ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TableNormal"/>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TableNormal"/>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TableNormal"/>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TableNormal"/>
        <w:tblW w:w="5000" w:type="pct"/>
        <w:jc w:val="center"/>
        <w:tblCellMar>
          <w:top w:w="0" w:type="dxa"/>
          <w:left w:w="108" w:type="dxa"/>
          <w:bottom w:w="0" w:type="dxa"/>
          <w:right w:w="108" w:type="dxa"/>
        </w:tblCellMar>
        <w:tblLook w:firstRow="0" w:lastRow="0" w:firstColumn="0" w:lastColumn="0" w:noHBand="1" w:noVBand="1"/>
      </w:tblPr>
      <w:tblGrid>
        <w:gridCol w:w="1804"/>
        <w:gridCol w:w="1416"/>
        <w:gridCol w:w="1325"/>
        <w:gridCol w:w="1325"/>
        <w:gridCol w:w="1326"/>
        <w:gridCol w:w="1326"/>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吴江区黎里镇金鼎路金鑫路3幢102普通多层住宅标准房基准价格评估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镇南新村5幢203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华丰丽景花园17幢504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贯前人家2幢208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平西新村3幢102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133.86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0.8988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0.9423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0.9423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0.8465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4325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4430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3879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3888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4296</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TableNormal"/>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5"/>
        <w:gridCol w:w="1572"/>
        <w:gridCol w:w="1572"/>
        <w:gridCol w:w="1572"/>
        <w:gridCol w:w="1571"/>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4325</w:t>
            </w:r>
          </w:p>
        </w:tc>
        <w:tc>
          <w:tcPr>
            <w:tcW w:w="922" w:type="pct"/>
            <w:shd w:val="clear" w:color="auto" w:fill="auto"/>
            <w:vAlign w:val="center"/>
          </w:tcPr>
          <w:p>
            <w:pPr>
              <w:jc w:val="center"/>
              <w:rPr>
                <w:rFonts w:ascii="宋体" w:hAnsi="宋体" w:cs="宋体"/>
              </w:rPr>
            </w:pPr>
            <w:r>
              <w:rPr>
                <w:rFonts w:hint="eastAsia" w:ascii="宋体" w:hAnsi="宋体" w:cs="宋体"/>
              </w:rPr>
              <w:t xml:space="preserve">4582</w:t>
            </w:r>
          </w:p>
        </w:tc>
        <w:tc>
          <w:tcPr>
            <w:tcW w:w="922" w:type="pct"/>
            <w:shd w:val="clear" w:color="auto" w:fill="auto"/>
            <w:vAlign w:val="center"/>
          </w:tcPr>
          <w:p>
            <w:pPr>
              <w:jc w:val="center"/>
              <w:rPr>
                <w:rFonts w:ascii="宋体" w:hAnsi="宋体" w:cs="宋体"/>
              </w:rPr>
            </w:pPr>
            <w:r>
              <w:rPr>
                <w:rFonts w:hint="eastAsia" w:ascii="宋体" w:hAnsi="宋体" w:cs="宋体"/>
              </w:rPr>
              <w:t xml:space="preserve">4445</w:t>
            </w:r>
          </w:p>
        </w:tc>
        <w:tc>
          <w:tcPr>
            <w:tcW w:w="922" w:type="pct"/>
            <w:shd w:val="clear" w:color="auto" w:fill="auto"/>
            <w:vAlign w:val="center"/>
          </w:tcPr>
          <w:p>
            <w:pPr>
              <w:jc w:val="center"/>
              <w:rPr>
                <w:rFonts w:ascii="宋体" w:hAnsi="宋体" w:cs="宋体"/>
              </w:rPr>
            </w:pPr>
            <w:r>
              <w:rPr>
                <w:rFonts w:hint="eastAsia" w:ascii="宋体" w:hAnsi="宋体" w:cs="宋体"/>
              </w:rPr>
              <w:t xml:space="preserve">4430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0.9958</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0.9995</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101/100.96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101/112.37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101/107.67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98/99</w:t>
            </w:r>
          </w:p>
        </w:tc>
        <w:tc>
          <w:tcPr>
            <w:tcW w:w="922" w:type="pct"/>
            <w:shd w:val="clear" w:color="auto" w:fill="auto"/>
            <w:vAlign w:val="center"/>
          </w:tcPr>
          <w:p>
            <w:pPr>
              <w:jc w:val="center"/>
              <w:rPr>
                <w:rFonts w:ascii="宋体" w:hAnsi="宋体" w:cs="宋体"/>
              </w:rPr>
            </w:pPr>
            <w:r>
              <w:rPr>
                <w:rFonts w:hint="eastAsia" w:ascii="宋体" w:hAnsi="宋体" w:cs="宋体"/>
              </w:rPr>
              <w:t xml:space="preserve">98/104</w:t>
            </w:r>
          </w:p>
        </w:tc>
        <w:tc>
          <w:tcPr>
            <w:tcW w:w="922" w:type="pct"/>
            <w:shd w:val="clear" w:color="auto" w:fill="auto"/>
            <w:vAlign w:val="center"/>
          </w:tcPr>
          <w:p>
            <w:pPr>
              <w:jc w:val="center"/>
              <w:rPr>
                <w:rFonts w:ascii="宋体" w:hAnsi="宋体" w:cs="宋体"/>
              </w:rPr>
            </w:pPr>
            <w:r>
              <w:rPr>
                <w:rFonts w:hint="eastAsia" w:ascii="宋体" w:hAnsi="宋体" w:cs="宋体"/>
              </w:rPr>
              <w:t xml:space="preserve">98/104</w:t>
            </w:r>
          </w:p>
        </w:tc>
        <w:tc>
          <w:tcPr>
            <w:tcW w:w="922" w:type="pct"/>
            <w:shd w:val="clear" w:color="auto" w:fill="auto"/>
            <w:vAlign w:val="center"/>
          </w:tcPr>
          <w:p>
            <w:pPr>
              <w:jc w:val="center"/>
              <w:rPr>
                <w:rFonts w:ascii="宋体" w:hAnsi="宋体" w:cs="宋体"/>
              </w:rPr>
            </w:pPr>
            <w:r>
              <w:rPr>
                <w:rFonts w:hint="eastAsia" w:ascii="宋体" w:hAnsi="宋体" w:cs="宋体"/>
              </w:rPr>
              <w:t xml:space="preserve">98/100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0.9861</w:t>
            </w:r>
          </w:p>
        </w:tc>
        <w:tc>
          <w:tcPr>
            <w:tcW w:w="922" w:type="pct"/>
            <w:shd w:val="clear" w:color="auto" w:fill="auto"/>
            <w:vAlign w:val="center"/>
          </w:tcPr>
          <w:p>
            <w:pPr>
              <w:jc w:val="center"/>
              <w:rPr>
                <w:rFonts w:ascii="宋体" w:hAnsi="宋体" w:cs="宋体"/>
              </w:rPr>
            </w:pPr>
            <w:r>
              <w:rPr>
                <w:rFonts w:hint="eastAsia" w:ascii="宋体" w:hAnsi="宋体" w:cs="宋体"/>
              </w:rPr>
              <w:t xml:space="preserve">0.8465</w:t>
            </w:r>
          </w:p>
        </w:tc>
        <w:tc>
          <w:tcPr>
            <w:tcW w:w="922" w:type="pct"/>
            <w:shd w:val="clear" w:color="auto" w:fill="auto"/>
            <w:vAlign w:val="center"/>
          </w:tcPr>
          <w:p>
            <w:pPr>
              <w:jc w:val="center"/>
              <w:rPr>
                <w:rFonts w:ascii="宋体" w:hAnsi="宋体" w:cs="宋体"/>
              </w:rPr>
            </w:pPr>
            <w:r>
              <w:rPr>
                <w:rFonts w:hint="eastAsia" w:ascii="宋体" w:hAnsi="宋体" w:cs="宋体"/>
              </w:rPr>
              <w:t xml:space="preserve">0.8748</w:t>
            </w:r>
          </w:p>
        </w:tc>
        <w:tc>
          <w:tcPr>
            <w:tcW w:w="922" w:type="pct"/>
            <w:shd w:val="clear" w:color="auto" w:fill="auto"/>
            <w:vAlign w:val="center"/>
          </w:tcPr>
          <w:p>
            <w:pPr>
              <w:jc w:val="center"/>
              <w:rPr>
                <w:rFonts w:ascii="宋体" w:hAnsi="宋体" w:cs="宋体"/>
              </w:rPr>
            </w:pPr>
            <w:r>
              <w:rPr>
                <w:rFonts w:hint="eastAsia" w:ascii="宋体" w:hAnsi="宋体" w:cs="宋体"/>
              </w:rPr>
              <w:t xml:space="preserve">0.9698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4265</w:t>
            </w:r>
          </w:p>
        </w:tc>
        <w:tc>
          <w:tcPr>
            <w:tcW w:w="922" w:type="pct"/>
            <w:shd w:val="clear" w:color="auto" w:fill="auto"/>
            <w:vAlign w:val="center"/>
          </w:tcPr>
          <w:p>
            <w:pPr>
              <w:jc w:val="center"/>
              <w:rPr>
                <w:rFonts w:ascii="宋体" w:hAnsi="宋体" w:cs="宋体"/>
              </w:rPr>
            </w:pPr>
            <w:r>
              <w:rPr>
                <w:rFonts w:hint="eastAsia" w:ascii="宋体" w:hAnsi="宋体" w:cs="宋体"/>
              </w:rPr>
              <w:t xml:space="preserve">3879</w:t>
            </w:r>
          </w:p>
        </w:tc>
        <w:tc>
          <w:tcPr>
            <w:tcW w:w="922" w:type="pct"/>
            <w:shd w:val="clear" w:color="auto" w:fill="auto"/>
            <w:vAlign w:val="center"/>
          </w:tcPr>
          <w:p>
            <w:pPr>
              <w:jc w:val="center"/>
              <w:rPr>
                <w:rFonts w:ascii="宋体" w:hAnsi="宋体" w:cs="宋体"/>
              </w:rPr>
            </w:pPr>
            <w:r>
              <w:rPr>
                <w:rFonts w:hint="eastAsia" w:ascii="宋体" w:hAnsi="宋体" w:cs="宋体"/>
              </w:rPr>
              <w:t xml:space="preserve">3888</w:t>
            </w:r>
          </w:p>
        </w:tc>
        <w:tc>
          <w:tcPr>
            <w:tcW w:w="922" w:type="pct"/>
            <w:shd w:val="clear" w:color="auto" w:fill="auto"/>
            <w:vAlign w:val="center"/>
          </w:tcPr>
          <w:p>
            <w:pPr>
              <w:jc w:val="center"/>
              <w:rPr>
                <w:rFonts w:ascii="宋体" w:hAnsi="宋体" w:cs="宋体"/>
              </w:rPr>
            </w:pPr>
            <w:r>
              <w:rPr>
                <w:rFonts w:hint="eastAsia" w:ascii="宋体" w:hAnsi="宋体" w:cs="宋体"/>
              </w:rPr>
              <w:t xml:space="preserve">4296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4265</w:t>
            </w:r>
          </w:p>
        </w:tc>
        <w:tc>
          <w:tcPr>
            <w:tcW w:w="922" w:type="pct"/>
            <w:shd w:val="clear" w:color="auto" w:fill="auto"/>
            <w:vAlign w:val="center"/>
          </w:tcPr>
          <w:p>
            <w:pPr>
              <w:jc w:val="center"/>
              <w:rPr>
                <w:rFonts w:ascii="宋体" w:hAnsi="宋体" w:cs="宋体"/>
              </w:rPr>
            </w:pPr>
            <w:r>
              <w:rPr>
                <w:rFonts w:hint="eastAsia" w:ascii="宋体" w:hAnsi="宋体" w:cs="宋体"/>
              </w:rPr>
              <w:t xml:space="preserve">3879</w:t>
            </w:r>
          </w:p>
        </w:tc>
        <w:tc>
          <w:tcPr>
            <w:tcW w:w="922" w:type="pct"/>
            <w:shd w:val="clear" w:color="auto" w:fill="auto"/>
            <w:vAlign w:val="center"/>
          </w:tcPr>
          <w:p>
            <w:pPr>
              <w:jc w:val="center"/>
              <w:rPr>
                <w:rFonts w:ascii="宋体" w:hAnsi="宋体" w:cs="宋体"/>
              </w:rPr>
            </w:pPr>
            <w:r>
              <w:rPr>
                <w:rFonts w:hint="eastAsia" w:ascii="宋体" w:hAnsi="宋体" w:cs="宋体"/>
              </w:rPr>
              <w:t xml:space="preserve">3888</w:t>
            </w:r>
          </w:p>
        </w:tc>
        <w:tc>
          <w:tcPr>
            <w:tcW w:w="922" w:type="pct"/>
            <w:shd w:val="clear" w:color="auto" w:fill="auto"/>
            <w:vAlign w:val="center"/>
          </w:tcPr>
          <w:p>
            <w:pPr>
              <w:jc w:val="center"/>
              <w:rPr>
                <w:rFonts w:ascii="宋体" w:hAnsi="宋体" w:cs="宋体"/>
              </w:rPr>
            </w:pPr>
            <w:r>
              <w:rPr>
                <w:rFonts w:hint="eastAsia" w:ascii="宋体" w:hAnsi="宋体" w:cs="宋体"/>
              </w:rPr>
              <w:t xml:space="preserve">4296</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4082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TableNormal"/>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F32050920240045586</w:t>
            </w:r>
          </w:p>
        </w:tc>
        <w:tc>
          <w:tcPr>
            <w:tcW w:w="1842" w:type="dxa"/>
            <w:vAlign w:val="center"/>
          </w:tcPr>
          <w:p>
            <w:pPr>
              <w:jc w:val="center"/>
            </w:pPr>
            <w:r>
              <w:rPr>
                <w:rFonts w:hint="eastAsia" w:ascii="宋体" w:hAnsi="宋体" w:cs="宋体"/>
              </w:rPr>
              <w:t xml:space="preserve">s202411050221</w:t>
            </w:r>
          </w:p>
        </w:tc>
        <w:tc>
          <w:tcPr>
            <w:tcW w:w="1843" w:type="dxa"/>
            <w:vAlign w:val="center"/>
          </w:tcPr>
          <w:p>
            <w:pPr>
              <w:jc w:val="center"/>
            </w:pPr>
            <w:r>
              <w:rPr>
                <w:rFonts w:hint="eastAsia" w:ascii="宋体" w:hAnsi="宋体" w:cs="宋体"/>
              </w:rPr>
              <w:t xml:space="preserve">F32050920240042578</w:t>
            </w:r>
          </w:p>
        </w:tc>
        <w:tc>
          <w:tcPr>
            <w:tcW w:w="1985" w:type="dxa"/>
            <w:vAlign w:val="center"/>
          </w:tcPr>
          <w:p>
            <w:pPr>
              <w:jc w:val="center"/>
            </w:pPr>
            <w:r>
              <w:rPr>
                <w:rFonts w:hint="eastAsia" w:ascii="宋体" w:hAnsi="宋体" w:cs="宋体"/>
              </w:rPr>
              <w:t xml:space="preserve">F32050920240030397</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镇南新村5幢203</w:t>
            </w:r>
          </w:p>
        </w:tc>
        <w:tc>
          <w:tcPr>
            <w:tcW w:w="1842" w:type="dxa"/>
            <w:vAlign w:val="center"/>
          </w:tcPr>
          <w:p>
            <w:pPr>
              <w:jc w:val="center"/>
            </w:pPr>
            <w:r>
              <w:rPr>
                <w:rFonts w:hint="eastAsia" w:ascii="宋体" w:hAnsi="宋体" w:cs="宋体"/>
              </w:rPr>
              <w:t xml:space="preserve">华丰丽景花园17幢504</w:t>
            </w:r>
          </w:p>
        </w:tc>
        <w:tc>
          <w:tcPr>
            <w:tcW w:w="1843" w:type="dxa"/>
            <w:vAlign w:val="center"/>
          </w:tcPr>
          <w:p>
            <w:pPr>
              <w:jc w:val="center"/>
            </w:pPr>
            <w:r>
              <w:rPr>
                <w:rFonts w:hint="eastAsia" w:ascii="宋体" w:hAnsi="宋体" w:cs="宋体"/>
              </w:rPr>
              <w:t xml:space="preserve">贯前人家2幢208</w:t>
            </w:r>
          </w:p>
        </w:tc>
        <w:tc>
          <w:tcPr>
            <w:tcW w:w="1985" w:type="dxa"/>
            <w:vAlign w:val="center"/>
          </w:tcPr>
          <w:p>
            <w:pPr>
              <w:jc w:val="center"/>
            </w:pPr>
            <w:r>
              <w:rPr>
                <w:rFonts w:hint="eastAsia" w:ascii="宋体" w:hAnsi="宋体" w:cs="宋体"/>
              </w:rPr>
              <w:t xml:space="preserve">平西新村3幢102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镇南新村5幢203</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7"/>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华丰丽景花园17幢504</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9"/>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贯前人家2幢208</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21"/>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平西新村3幢102</w:t>
      </w:r>
      <w:r>
        <w:rPr>
          <w:rFonts w:hint="eastAsia" w:ascii="宋体" w:hAnsi="宋体"/>
          <w:sz w:val="21"/>
          <w:szCs w:val="21"/>
        </w:rPr>
        <w:t xml:space="preserve">）</w:t>
      </w:r>
    </w:p>
    <w:tbl>
      <w:tblPr>
        <w:tblStyle w:val="TableNormal"/>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2"/>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3"/>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TableNormal"/>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4"/>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TableNormal"/>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5"/>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TableNormal"/>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6"/>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7"/>
                </v:shape>
              </w:pict>
            </w:r>
          </w:p>
        </w:tc>
      </w:tr>
    </w:tbl>
    <w:p>
      <w:pPr>
        <w:spacing w:line="360" w:lineRule="auto"/>
        <w:jc w:val="both"/>
        <w:rPr>
          <w:rFonts w:ascii="仿宋_GB2312" w:hAnsi="华文仿宋" w:eastAsia="仿宋_GB2312"/>
          <w:bCs/>
          <w:sz w:val="28"/>
          <w:szCs w:val="28"/>
        </w:rPr>
      </w:pPr>
    </w:p>
    <w:sectPr>
      <w:footerReference w:type="default" r:id="rId28"/>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Auto"/>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Auto"/>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Auto"/>
    <w:pitch w:val="default"/>
    <w:sig w:usb0="E0002E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Auto"/>
    <w:pitch w:val="default"/>
    <w:sig w:usb0="E4002EFF" w:usb1="C2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楷体_GB2312">
    <w:panose1 w:val="02010609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楷体">
    <w:panose1 w:val="02010609060101010101"/>
    <w:charset w:val="86"/>
    <w:family w:val="Auto"/>
    <w:pitch w:val="default"/>
    <w:sig w:usb0="800002BF" w:usb1="38CF7CFA" w:usb2="00000016" w:usb3="00000000" w:csb0="00040001" w:csb1="00000000"/>
  </w:font>
  <w:font w:name="Baskerville">
    <w:panose1 w:val="00000000000000000000"/>
    <w:charset w:val="00"/>
    <w:family w:val="Auto"/>
    <w:pitch w:val="default"/>
    <w:sig w:usb0="00000000" w:usb1="00000000" w:usb2="00000000" w:usb3="00000000" w:csb0="00000001" w:csb1="00000000"/>
  </w:font>
  <w:font w:name="C059">
    <w:panose1 w:val="00000500000000000000"/>
    <w:charset w:val="00"/>
    <w:family w:val="Auto"/>
    <w:pitch w:val="default"/>
    <w:sig w:usb0="00000000" w:usb1="000000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1" w:usb1="080F0000" w:usb2="00000000" w:usb3="00000000" w:csb0="00040000" w:csb1="00000000"/>
  </w:font>
  <w:font w:name="仿宋_GB2312">
    <w:panose1 w:val="02010609030101010101"/>
    <w:charset w:val="86"/>
    <w:family w:val="Auto"/>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Baskerville Old Face">
    <w:panose1 w:val="02020602080505020303"/>
    <w:charset w:val="00"/>
    <w:family w:val="Auto"/>
    <w:pitch w:val="default"/>
    <w:sig w:usb0="00000003" w:usb1="00000000" w:usb2="00000000" w:usb3="00000000" w:csb0="2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1080" w:hanging="360"/>
      </w:pPr>
      <w:rPr>
        <w:rFonts w:ascii="Times New Roman" w:eastAsia="Times New Roman" w:hAnsi="Times New Roman" w:cs="Times New Roman"/>
      </w:rPr>
    </w:lvl>
    <w:lvl w:ilvl="1">
      <w:start w:val="1"/>
      <w:numFmt w:val="lowerLetter"/>
      <w:suff w:val="tab"/>
      <w:lvlText w:val="%2."/>
      <w:lvlJc w:val="right"/>
      <w:pPr>
        <w:ind w:left="1800" w:hanging="360"/>
      </w:pPr>
      <w:rPr>
        <w:rFonts w:ascii="Times New Roman" w:eastAsia="Times New Roman" w:hAnsi="Times New Roman" w:cs="Times New Roman"/>
      </w:rPr>
    </w:lvl>
    <w:lvl w:ilvl="2">
      <w:start w:val="1"/>
      <w:numFmt w:val="lowerRoman"/>
      <w:suff w:val="tab"/>
      <w:lvlText w:val="%3."/>
      <w:lvlJc w:val="left"/>
      <w:pPr>
        <w:ind w:left="2520" w:hanging="360"/>
      </w:pPr>
      <w:rPr>
        <w:rFonts w:ascii="Times New Roman" w:eastAsia="Times New Roman" w:hAnsi="Times New Roman" w:cs="Times New Roman"/>
      </w:rPr>
    </w:lvl>
    <w:lvl w:ilvl="3">
      <w:start w:val="1"/>
      <w:numFmt w:val="decimal"/>
      <w:suff w:val="tab"/>
      <w:lvlText w:val="%4."/>
      <w:lvlJc w:val="left"/>
      <w:pPr>
        <w:ind w:left="3240" w:hanging="360"/>
      </w:pPr>
      <w:rPr>
        <w:rFonts w:ascii="Times New Roman" w:eastAsia="Times New Roman" w:hAnsi="Times New Roman" w:cs="Times New Roman"/>
      </w:rPr>
    </w:lvl>
    <w:lvl w:ilvl="4">
      <w:start w:val="1"/>
      <w:numFmt w:val="lowerLetter"/>
      <w:suff w:val="tab"/>
      <w:lvlText w:val="%5."/>
      <w:lvlJc w:val="right"/>
      <w:pPr>
        <w:ind w:left="3960" w:hanging="360"/>
      </w:pPr>
      <w:rPr>
        <w:rFonts w:ascii="Times New Roman" w:eastAsia="Times New Roman" w:hAnsi="Times New Roman" w:cs="Times New Roman"/>
      </w:rPr>
    </w:lvl>
    <w:lvl w:ilvl="5">
      <w:start w:val="1"/>
      <w:numFmt w:val="lowerRoman"/>
      <w:suff w:val="tab"/>
      <w:lvlText w:val="%6."/>
      <w:lvlJc w:val="left"/>
      <w:pPr>
        <w:ind w:left="4680" w:hanging="360"/>
      </w:pPr>
      <w:rPr>
        <w:rFonts w:ascii="Times New Roman" w:eastAsia="Times New Roman" w:hAnsi="Times New Roman" w:cs="Times New Roman"/>
      </w:rPr>
    </w:lvl>
    <w:lvl w:ilvl="6">
      <w:start w:val="1"/>
      <w:numFmt w:val="decimal"/>
      <w:suff w:val="tab"/>
      <w:lvlText w:val="%7."/>
      <w:lvlJc w:val="left"/>
      <w:pPr>
        <w:ind w:left="5400" w:hanging="360"/>
      </w:pPr>
      <w:rPr>
        <w:rFonts w:ascii="Times New Roman" w:eastAsia="Times New Roman" w:hAnsi="Times New Roman" w:cs="Times New Roman"/>
      </w:rPr>
    </w:lvl>
    <w:lvl w:ilvl="7">
      <w:start w:val="1"/>
      <w:numFmt w:val="lowerLetter"/>
      <w:suff w:val="tab"/>
      <w:lvlText w:val="%8."/>
      <w:lvlJc w:val="right"/>
      <w:pPr>
        <w:ind w:left="6120" w:hanging="360"/>
      </w:pPr>
      <w:rPr>
        <w:rFonts w:ascii="Times New Roman" w:eastAsia="Times New Roman" w:hAnsi="Times New Roman" w:cs="Times New Roman"/>
      </w:rPr>
    </w:lvl>
    <w:lvl w:ilvl="8">
      <w:start w:val="1"/>
      <w:numFmt w:val="lowerRoman"/>
      <w:suff w:val="tab"/>
      <w:lvlText w:val="%9."/>
      <w:lvlJc w:val="left"/>
      <w:pPr>
        <w:ind w:left="684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1080" w:hanging="360"/>
      </w:pPr>
      <w:rPr>
        <w:rFonts w:ascii="Symbol" w:eastAsia="Symbol" w:hAnsi="Symbol" w:cs="Symbol"/>
      </w:rPr>
    </w:lvl>
    <w:lvl w:ilvl="1">
      <w:start w:val="1"/>
      <w:numFmt w:val="bullet"/>
      <w:suff w:val="tab"/>
      <w:lvlText w:val="o"/>
      <w:lvlJc w:val="left"/>
      <w:pPr>
        <w:ind w:left="1800" w:hanging="360"/>
      </w:pPr>
      <w:rPr>
        <w:rFonts w:ascii="Courier New" w:eastAsia="Courier New" w:hAnsi="Courier New" w:cs="Courier New"/>
      </w:rPr>
    </w:lvl>
    <w:lvl w:ilvl="2">
      <w:start w:val="1"/>
      <w:numFmt w:val="bullet"/>
      <w:suff w:val="tab"/>
      <w:lvlText w:val=""/>
      <w:lvlJc w:val="left"/>
      <w:pPr>
        <w:ind w:left="2520" w:hanging="360"/>
      </w:pPr>
      <w:rPr>
        <w:rFonts w:ascii="Wingdings" w:eastAsia="Wingdings" w:hAnsi="Wingdings" w:cs="Wingdings"/>
      </w:rPr>
    </w:lvl>
    <w:lvl w:ilvl="3">
      <w:start w:val="1"/>
      <w:numFmt w:val="bullet"/>
      <w:suff w:val="tab"/>
      <w:lvlText w:val=""/>
      <w:lvlJc w:val="left"/>
      <w:pPr>
        <w:ind w:left="3240" w:hanging="360"/>
      </w:pPr>
      <w:rPr>
        <w:rFonts w:ascii="Symbol" w:eastAsia="Symbol" w:hAnsi="Symbol" w:cs="Symbol"/>
      </w:rPr>
    </w:lvl>
    <w:lvl w:ilvl="4">
      <w:start w:val="1"/>
      <w:numFmt w:val="bullet"/>
      <w:suff w:val="tab"/>
      <w:lvlText w:val="o"/>
      <w:lvlJc w:val="left"/>
      <w:pPr>
        <w:ind w:left="3960" w:hanging="360"/>
      </w:pPr>
      <w:rPr>
        <w:rFonts w:ascii="Courier New" w:eastAsia="Courier New" w:hAnsi="Courier New" w:cs="Courier New"/>
      </w:rPr>
    </w:lvl>
    <w:lvl w:ilvl="5">
      <w:start w:val="1"/>
      <w:numFmt w:val="bullet"/>
      <w:suff w:val="tab"/>
      <w:lvlText w:val=""/>
      <w:lvlJc w:val="left"/>
      <w:pPr>
        <w:ind w:left="4680" w:hanging="360"/>
      </w:pPr>
      <w:rPr>
        <w:rFonts w:ascii="Wingdings" w:eastAsia="Wingdings" w:hAnsi="Wingdings" w:cs="Wingdings"/>
      </w:rPr>
    </w:lvl>
    <w:lvl w:ilvl="6">
      <w:start w:val="1"/>
      <w:numFmt w:val="bullet"/>
      <w:suff w:val="tab"/>
      <w:lvlText w:val=""/>
      <w:lvlJc w:val="left"/>
      <w:pPr>
        <w:ind w:left="5400" w:hanging="360"/>
      </w:pPr>
      <w:rPr>
        <w:rFonts w:ascii="Symbol" w:eastAsia="Symbol" w:hAnsi="Symbol" w:cs="Symbol"/>
      </w:rPr>
    </w:lvl>
    <w:lvl w:ilvl="7">
      <w:start w:val="1"/>
      <w:numFmt w:val="bullet"/>
      <w:suff w:val="tab"/>
      <w:lvlText w:val="o"/>
      <w:lvlJc w:val="left"/>
      <w:pPr>
        <w:ind w:left="6120" w:hanging="360"/>
      </w:pPr>
      <w:rPr>
        <w:rFonts w:ascii="Courier New" w:eastAsia="Courier New" w:hAnsi="Courier New" w:cs="Courier New"/>
      </w:rPr>
    </w:lvl>
    <w:lvl w:ilvl="8">
      <w:start w:val="1"/>
      <w:numFmt w:val="bullet"/>
      <w:suff w:val="tab"/>
      <w:lvlText w:val=""/>
      <w:lvlJc w:val="left"/>
      <w:pPr>
        <w:ind w:left="684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20"/>
  <w:bordersDoNotSurroundFooter/>
  <w:bordersDoNotSurroundHeader/>
  <w:doNotTrackMoves/>
  <w:documentProtection w:edit="trackedChanges" w:enforcement="0"/>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TableGrid"/>
    <w:qFormat/>
    <w:pPr>
      <w:keepNext/>
      <w:keepLines/>
      <w:spacing w:before="260" w:after="260" w:line="416" w:lineRule="auto"/>
      <w:outlineLvl w:val="2"/>
    </w:pPr>
    <w:rPr>
      <w:b/>
      <w:sz w:val="32"/>
    </w:rPr>
  </w:style>
  <w:style w:type="paragraph" w:styleId="Heading4">
    <w:name w:val="Heading 4"/>
    <w:basedOn w:val="Normal"/>
    <w:next w:val="Normal"/>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TableNormal">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qFormat/>
    <w:rPr>
      <w:rFonts w:ascii="Cambria" w:eastAsia="黑体" w:hAnsi="Cambria"/>
    </w:rPr>
  </w:style>
  <w:style w:type="paragraph" w:styleId="annotationtext">
    <w:name w:val="annotation text"/>
    <w:basedOn w:val="Normal"/>
    <w:uiPriority w:val="99"/>
    <w:unhideWhenUsed/>
    <w:qFormat/>
    <w:rPr/>
  </w:style>
  <w:style w:type="paragraph" w:styleId="BodyText3">
    <w:name w:val="Body Text 3"/>
    <w:basedOn w:val="Normal"/>
    <w:uiPriority w:val="99"/>
    <w:unhideWhenUsed/>
    <w:qFormat/>
    <w:pPr>
      <w:spacing w:after="120"/>
    </w:pPr>
    <w:rPr>
      <w:sz w:val="16"/>
      <w:szCs w:val="16"/>
    </w:rPr>
  </w:style>
  <w:style w:type="paragraph" w:styleId="BodyText">
    <w:name w:val="Body Text"/>
    <w:basedOn w:val="Normal"/>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qFormat/>
    <w:pPr>
      <w:widowControl w:val="0"/>
      <w:jc w:val="both"/>
    </w:pPr>
    <w:rPr>
      <w:rFonts w:ascii="宋体" w:hAnsi="Courier New"/>
      <w:kern w:val="2"/>
      <w:sz w:val="21"/>
    </w:rPr>
  </w:style>
  <w:style w:type="paragraph" w:styleId="Date">
    <w:name w:val="Date"/>
    <w:basedOn w:val="Normal"/>
    <w:next w:val="Normal"/>
    <w:uiPriority w:val="99"/>
    <w:semiHidden/>
    <w:unhideWhenUsed/>
    <w:qFormat/>
    <w:pPr>
      <w:ind w:left="100" w:leftChars="2500"/>
    </w:pPr>
    <w:rPr/>
  </w:style>
  <w:style w:type="paragraph" w:styleId="BalloonText">
    <w:name w:val="Balloon Text"/>
    <w:basedOn w:val="Normal"/>
    <w:uiPriority w:val="99"/>
    <w:semiHidden/>
    <w:unhideWhenUsed/>
    <w:qFormat/>
    <w:rPr>
      <w:sz w:val="18"/>
      <w:szCs w:val="18"/>
    </w:rPr>
  </w:style>
  <w:style w:type="paragraph" w:styleId="Footer">
    <w:name w:val="Footer"/>
    <w:basedOn w:val="Normal"/>
    <w:uiPriority w:val="99"/>
    <w:unhideWhenUsed/>
    <w:qFormat/>
    <w:pPr>
      <w:tabs>
        <w:tab w:val="center" w:pos="4153"/>
        <w:tab w:val="right" w:pos="8306"/>
      </w:tabs>
      <w:snapToGrid w:val="0"/>
    </w:pPr>
    <w:rPr>
      <w:sz w:val="18"/>
      <w:szCs w:val="18"/>
    </w:rPr>
  </w:style>
  <w:style w:type="paragraph" w:styleId="Header">
    <w:name w:val="Header"/>
    <w:basedOn w:val="Normal"/>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annotationsubject">
    <w:name w:val="annotation subject"/>
    <w:basedOn w:val="annotationtext"/>
    <w:uiPriority w:val="99"/>
    <w:semiHidden/>
    <w:unhideWhenUsed/>
    <w:qFormat/>
    <w:rPr>
      <w:b/>
      <w:bCs/>
    </w:rPr>
  </w:style>
  <w:style w:type="table" w:styleId="TableGrid">
    <w:name w:val="Table Grid"/>
    <w:basedOn w:val="TableNormal"/>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annotationreference">
    <w:name w:val="annotation reference"/>
    <w:basedOn w:val="DefaultParagraphFont"/>
    <w:uiPriority w:val="99"/>
    <w:semiHidden/>
    <w:unhideWhenUsed/>
    <w:qFormat/>
    <w:rPr>
      <w:sz w:val="21"/>
      <w:szCs w:val="21"/>
    </w:rPr>
  </w:style>
  <w:style w:type="character" w:customStyle="1" w:styleId="页眉字符">
    <w:name w:val="页眉 字符"/>
    <w:basedOn w:val="DefaultParagraphFont"/>
    <w:link w:val="annotationreference"/>
    <w:uiPriority w:val="99"/>
    <w:qFormat/>
    <w:rPr>
      <w:sz w:val="18"/>
      <w:szCs w:val="18"/>
    </w:rPr>
  </w:style>
  <w:style w:type="character" w:customStyle="1" w:styleId="页脚字符">
    <w:name w:val="页脚 字符"/>
    <w:basedOn w:val="DefaultParagraphFont"/>
    <w:link w:val="页眉字符"/>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qFormat/>
    <w:rPr>
      <w:rFonts w:ascii="宋体" w:eastAsia="宋体" w:hAnsi="Courier New" w:cs="Times New Roman"/>
      <w:szCs w:val="20"/>
    </w:rPr>
  </w:style>
  <w:style w:type="character" w:customStyle="1" w:styleId="正文文本字符">
    <w:name w:val="正文文本 字符"/>
    <w:basedOn w:val="DefaultParagraphFon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uiPriority w:val="1"/>
    <w:qFormat/>
    <w:rPr>
      <w:kern w:val="0"/>
      <w:sz w:val="22"/>
    </w:rPr>
  </w:style>
  <w:style w:type="character" w:customStyle="1" w:styleId="批注文字字符">
    <w:name w:val="批注文字 字符"/>
    <w:basedOn w:val="DefaultParagraphFon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标题3字符"/>
    <w:qFormat/>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5.jpeg" /><Relationship Id="rId11" Type="http://schemas.openxmlformats.org/officeDocument/2006/relationships/image" Target="media/image6.jpeg"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wmf" /><Relationship Id="rId15" Type="http://schemas.openxmlformats.org/officeDocument/2006/relationships/oleObject" Target="embeddings/oleObject1.bin" /><Relationship Id="rId16" Type="http://schemas.openxmlformats.org/officeDocument/2006/relationships/image" Target="media/image10.jpeg" /><Relationship Id="rId17" Type="http://schemas.openxmlformats.org/officeDocument/2006/relationships/image" Target="media/image11.jpeg" /><Relationship Id="rId18" Type="http://schemas.openxmlformats.org/officeDocument/2006/relationships/image" Target="media/image12.jpeg" /><Relationship Id="rId19" Type="http://schemas.openxmlformats.org/officeDocument/2006/relationships/image" Target="media/image13.jpeg" /><Relationship Id="rId2" Type="http://schemas.openxmlformats.org/officeDocument/2006/relationships/customXml" Target="../customXml/item2.xml" /><Relationship Id="rId20" Type="http://schemas.openxmlformats.org/officeDocument/2006/relationships/image" Target="media/image14.jpeg" /><Relationship Id="rId21" Type="http://schemas.openxmlformats.org/officeDocument/2006/relationships/image" Target="media/image15.jpeg" /><Relationship Id="rId22" Type="http://schemas.openxmlformats.org/officeDocument/2006/relationships/image" Target="media/image16.jpeg" /><Relationship Id="rId23" Type="http://schemas.openxmlformats.org/officeDocument/2006/relationships/image" Target="media/image17.jpeg" /><Relationship Id="rId24" Type="http://schemas.openxmlformats.org/officeDocument/2006/relationships/image" Target="media/image18.png" /><Relationship Id="rId25" Type="http://schemas.openxmlformats.org/officeDocument/2006/relationships/image" Target="media/image19.jpeg" /><Relationship Id="rId26" Type="http://schemas.openxmlformats.org/officeDocument/2006/relationships/image" Target="media/image20.png" /><Relationship Id="rId27" Type="http://schemas.openxmlformats.org/officeDocument/2006/relationships/image" Target="media/image21.jpeg" /><Relationship Id="rId28" Type="http://schemas.openxmlformats.org/officeDocument/2006/relationships/footer" Target="footer2.xml" /><Relationship Id="rId29" Type="http://schemas.openxmlformats.org/officeDocument/2006/relationships/theme" Target="theme/theme1.xml" /><Relationship Id="rId3" Type="http://schemas.openxmlformats.org/officeDocument/2006/relationships/customXml" Target="../customXml/item3.xml" /><Relationship Id="rId30" Type="http://schemas.openxmlformats.org/officeDocument/2006/relationships/styles" Target="styles.xml" /><Relationship Id="rId31" Type="http://schemas.openxmlformats.org/officeDocument/2006/relationships/webSettings" Target="webSettings.xml" /><Relationship Id="rId32" Type="http://schemas.openxmlformats.org/officeDocument/2006/relationships/numbering" Target="numbering.xml" /><Relationship Id="rId33" Type="http://schemas.openxmlformats.org/officeDocument/2006/relationships/fontTable" Target="fontTable.xml" /><Relationship Id="rId34" Type="http://schemas.openxmlformats.org/officeDocument/2006/relationships/settings" Target="settings.xml" /><Relationship Id="rId4" Type="http://schemas.openxmlformats.org/officeDocument/2006/relationships/customXml" Target="../customXml/item4.xml" /><Relationship Id="rId5" Type="http://schemas.openxmlformats.org/officeDocument/2006/relationships/footer" Target="footer1.xml" /><Relationship Id="rId6" Type="http://schemas.openxmlformats.org/officeDocument/2006/relationships/image" Target="media/image1.jpeg" /><Relationship Id="rId7" Type="http://schemas.openxmlformats.org/officeDocument/2006/relationships/image" Target="media/image2.jpeg" /><Relationship Id="rId8" Type="http://schemas.openxmlformats.org/officeDocument/2006/relationships/image" Target="media/image3.jpeg" /><Relationship Id="rId9" Type="http://schemas.openxmlformats.org/officeDocument/2006/relationships/image" Target="media/image4.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_rels/item3.xml.rels>&#65279;<?xml version="1.0" encoding="utf-8"?><Relationships xmlns="http://schemas.openxmlformats.org/package/2006/relationships"><Relationship Id="rId1" Type="http://schemas.openxmlformats.org/officeDocument/2006/relationships/customXmlProps" Target="itemProps3.xml" /></Relationships>
</file>

<file path=customXml/_rels/item4.xml.rels>&#65279;<?xml version="1.0" encoding="utf-8"?><Relationships xmlns="http://schemas.openxmlformats.org/package/2006/relationships"><Relationship Id="rId1" Type="http://schemas.openxmlformats.org/officeDocument/2006/relationships/customXmlProps" Target="itemProps4.xml" /></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2023-05-07T01:44:00Z</dcterms:created>
  <dc:creator>Microsoft</dc:creator>
  <cp:lastModifiedBy>拼</cp:lastModifiedBy>
  <cp:lastPrinted>2020-04-01T02:20:00Z</cp:lastPrinted>
  <dcterms:modified xsi:type="dcterms:W3CDTF">2025-02-08T00:33:19Z</dcterms:modified>
</cp:coreProperties>
</file>

<file path=customXml/item2.xml><?xml version="1.0" encoding="utf-8"?>
<Properties xmlns="http://schemas.openxmlformats.org/officeDocument/2006/extended-properties" xmlns:vt="http://schemas.openxmlformats.org/officeDocument/2006/docPropsVTypes">
  <Company>Www.RePaiK.Com</Company>
  <Pages>34</Pages>
  <Words>9142</Words>
  <Characters>11068</Characters>
  <Lines>158</Lines>
  <Paragraphs>44</Paragraphs>
  <TotalTime>0</TotalTime>
  <ScaleCrop>false</ScaleCrop>
  <LinksUpToDate>false</LinksUpToDate>
  <CharactersWithSpaces>11460</CharactersWithSpaces>
  <Application>WPS Office_12.1.0.19770_F1E327BC-269C-435d-A152-05C5408002CA</Application>
  <DocSecurity>0</DocSecurity>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0681153265704AF2A3DC189A351F6915</vt:lpwstr>
  </property>
  <property fmtid="{D5CDD505-2E9C-101B-9397-08002B2CF9AE}" pid="4" name="KSOTemplateDocerSaveRecord">
    <vt:lpwstr>eyJoZGlkIjoiNDAwMjZjNWRhNmM4MmY4NmVmNGM4YTIxMWJkNDdhZGYiLCJ1c2VySWQiOiIxMjAyMzMxODQ5In0=</vt:lpwstr>
  </property>
</Properties>
</file>

<file path=customXml/item4.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
  <ds:schemaRefs/>
</ds:datastoreItem>
</file>

<file path=customXml/itemProps3.xml><?xml version="1.0" encoding="utf-8"?>
<ds:datastoreItem xmlns:ds="http://schemas.openxmlformats.org/officeDocument/2006/customXml" ds:itemID="">
  <ds:schemaRefs/>
</ds:datastoreItem>
</file>

<file path=customXml/itemProps4.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0</TotalTime>
  <Pages>34</Pages>
  <Words>9142</Words>
  <Characters>11068</Characters>
  <Application>WPS Office_12.1.0.19770_F1E327BC-269C-435d-A152-05C5408002CA</Application>
  <DocSecurity>0</DocSecurity>
  <Lines>158</Lines>
  <Paragraphs>44</Paragraphs>
  <Company>Www.RePaiK.Com</Company>
  <CharactersWithSpaces>11460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拼</cp:lastModifiedBy>
  <cp:revision>1</cp:revision>
  <cp:lastPrinted>2020-04-01T02:20:00Z</cp:lastPrinted>
  <dcterms:created xsi:type="dcterms:W3CDTF">2023-05-07T01:44:00Z</dcterms:created>
  <dcterms:modified xsi:type="dcterms:W3CDTF">2025-02-08T00:33:19Z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2052-12.1.0.19770</vt:lpstr>
  </property>
  <property fmtid="{D5CDD505-2E9C-101B-9397-08002B2CF9AE}" pid="3" name="ICV">
    <vt:lpstr>0681153265704AF2A3DC189A351F6915</vt:lpstr>
  </property>
  <property fmtid="{D5CDD505-2E9C-101B-9397-08002B2CF9AE}" pid="4" name="KSOTemplateDocerSaveRecord">
    <vt:lpstr>eyJoZGlkIjoiNDAwMjZjNWRhNmM4MmY4NmVmNGM4YTIxMWJkNDdhZGYiLCJ1c2VySWQiOiIxMjAyMzMxODQ5In0_x003D_</vt:lpstr>
  </property>
</Properties>
</file>