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r>
        <w:rPr>
          <w:color w:val="FF0000"/>
          <w:sz w:val="24"/>
        </w:rPr>
        <w:t xml:space="preserve"/>
      </w:r>
    </w:p>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苏吴地评税字(2025)吴江第00158号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樾碧花园叠加</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国家注册房地产估价师：谢建鹏</w:t>
      </w:r>
      <w:r>
        <w:rPr>
          <w:rFonts w:hint="eastAsia" w:ascii="宋体" w:hAnsi="宋体"/>
          <w:sz w:val="24"/>
          <w:szCs w:val="24"/>
        </w:rPr>
        <w:t xml:space="preserve">、注册证号：</w:t>
      </w:r>
      <w:r>
        <w:rPr>
          <w:rFonts w:ascii="宋体" w:hAnsi="宋体"/>
          <w:sz w:val="24"/>
          <w:szCs w:val="24"/>
        </w:rPr>
        <w:t xml:space="preserve">1220160011</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2025年02月28日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fldChar w:fldCharType="begin"/>
      </w:r>
      <w: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5"/>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估价对象位于苏州市吴江区区域范围内的樾碧花园住宅小区叠加存量房。该小区内的物业类型包括：</w:t>
      </w:r>
      <w:r>
        <w:rPr>
          <w:rFonts w:ascii="宋体"/>
          <w:sz w:val="24"/>
        </w:rPr>
        <w:t xml:space="preserve">小高层、高层、叠加</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月修订版），结合估价人员现场查勘，选取樾碧花园</w:t>
      </w:r>
      <w:r>
        <w:rPr>
          <w:rFonts w:ascii="宋体"/>
          <w:sz w:val="24"/>
        </w:rPr>
        <w:t xml:space="preserve">10幢105室</w:t>
      </w:r>
      <w:r>
        <w:rPr>
          <w:rFonts w:hint="eastAsia" w:ascii="宋体"/>
          <w:sz w:val="24"/>
        </w:rPr>
        <w:t xml:space="preserve">为该小区</w:t>
      </w:r>
      <w:r>
        <w:rPr>
          <w:rFonts w:ascii="宋体"/>
          <w:sz w:val="24"/>
        </w:rPr>
        <w:t xml:space="preserve">钢混结构</w:t>
      </w:r>
      <w:r>
        <w:rPr>
          <w:rFonts w:hint="eastAsia" w:ascii="宋体"/>
          <w:sz w:val="24"/>
        </w:rPr>
        <w:t xml:space="preserve">叠加的标准样本房，所在楼层</w:t>
      </w:r>
      <w:r>
        <w:rPr>
          <w:rFonts w:ascii="宋体"/>
          <w:sz w:val="24"/>
        </w:rPr>
        <w:t xml:space="preserve">1-2</w:t>
      </w:r>
      <w:r>
        <w:rPr>
          <w:rFonts w:hint="eastAsia" w:ascii="宋体"/>
          <w:sz w:val="24"/>
        </w:rPr>
        <w:t xml:space="preserve">层</w:t>
      </w:r>
      <w:r>
        <w:rPr>
          <w:rFonts w:hint="eastAsia" w:ascii="宋体"/>
          <w:sz w:val="24"/>
        </w:rPr>
        <w:t xml:space="preserve">，总层数</w:t>
      </w:r>
      <w:r>
        <w:rPr>
          <w:rFonts w:ascii="宋体"/>
          <w:sz w:val="24"/>
        </w:rPr>
        <w:t xml:space="preserve">36</w:t>
      </w:r>
      <w:r>
        <w:rPr>
          <w:rFonts w:hint="eastAsia" w:ascii="宋体"/>
          <w:sz w:val="24"/>
        </w:rPr>
        <w:t xml:space="preserve">层，建筑面积</w:t>
      </w:r>
      <w:r>
        <w:rPr>
          <w:rFonts w:ascii="宋体"/>
          <w:sz w:val="24"/>
        </w:rPr>
        <w:t xml:space="preserve">93.42</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2025年02月06日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2025年02月06日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玖仟陆佰柒拾陆元整</w:t>
      </w:r>
      <w:r>
        <w:rPr>
          <w:rFonts w:hint="eastAsia" w:ascii="宋体" w:hAnsi="宋体"/>
          <w:b/>
          <w:bCs/>
          <w:sz w:val="24"/>
        </w:rPr>
        <w:t xml:space="preserve">（RMB</w:t>
      </w:r>
      <w:r>
        <w:rPr>
          <w:rFonts w:ascii="宋体" w:hAnsi="宋体"/>
          <w:b/>
          <w:bCs/>
          <w:sz w:val="24"/>
        </w:rPr>
        <w:t xml:space="preserve"> 9676</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2025年02月28日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6"/>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2025年02月28日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6"/>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2025年02月28日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2025年02月28日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 2 \* GB3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5.本报告作为整体使用时有效。若房地产市场无重大波动，本估价报告自出具日起一年内有效，从2025年02月28日至</w:t>
      </w:r>
      <w:r>
        <w:rPr>
          <w:rFonts w:ascii="宋体" w:hAnsi="宋体"/>
          <w:sz w:val="24"/>
        </w:rPr>
        <w:t xml:space="preserve">2026年02月27日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估价对象为樾碧花园</w:t>
      </w:r>
      <w:r>
        <w:rPr>
          <w:rFonts w:ascii="宋体" w:hAnsi="宋体"/>
          <w:sz w:val="24"/>
        </w:rPr>
        <w:t xml:space="preserve">10幢105室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中山北路西侧</w:t>
      </w:r>
      <w:r>
        <w:rPr>
          <w:rFonts w:hint="eastAsia" w:hAnsi="宋体"/>
          <w:sz w:val="24"/>
        </w:rPr>
        <w:t xml:space="preserve">的“樾碧花园”住宅区内。</w:t>
      </w:r>
      <w:r>
        <w:rPr>
          <w:rFonts w:hint="eastAsia" w:ascii="宋体" w:hAnsi="宋体"/>
          <w:sz w:val="24"/>
        </w:rPr>
        <w:t xml:space="preserve">估价对象</w:t>
      </w:r>
      <w:r>
        <w:rPr>
          <w:rFonts w:hint="eastAsia" w:ascii="宋体" w:hAnsi="宋体"/>
          <w:sz w:val="24"/>
          <w:lang w:val="en-US" w:eastAsia="zh-CN"/>
        </w:rPr>
        <w:t xml:space="preserve">所在小区</w:t>
      </w:r>
      <w:r>
        <w:rPr>
          <w:rFonts w:hint="eastAsia" w:ascii="宋体" w:hAnsi="宋体"/>
          <w:sz w:val="24"/>
        </w:rPr>
        <w:t xml:space="preserve">东至</w:t>
      </w:r>
      <w:r>
        <w:rPr>
          <w:rFonts w:ascii="宋体" w:hAnsi="宋体"/>
          <w:sz w:val="24"/>
          <w:szCs w:val="24"/>
        </w:rPr>
        <w:t xml:space="preserve">中山北路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兴中路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东港河</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河流</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93.42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中山北路西侧</w:t>
      </w:r>
      <w:r>
        <w:rPr>
          <w:rFonts w:hint="eastAsia" w:hAnsi="宋体"/>
          <w:sz w:val="24"/>
        </w:rPr>
        <w:t xml:space="preserve">的“樾碧花园”住宅区内。该小区内的物业类型包括：</w:t>
      </w:r>
      <w:r>
        <w:rPr>
          <w:rFonts w:hAnsi="宋体"/>
          <w:sz w:val="24"/>
        </w:rPr>
        <w:t xml:space="preserve">小高层、高层、叠加</w:t>
      </w:r>
      <w:r>
        <w:rPr>
          <w:rFonts w:hint="eastAsia" w:hAnsi="宋体"/>
          <w:sz w:val="24"/>
        </w:rPr>
        <w:t xml:space="preserve">，小区内水、电、气、有线电视等基础设施配套齐全，附近有学校、超市、菜场，商业、服务网点齐全，附近有公交站台，生活较方便。</w:t>
      </w:r>
    </w:p>
    <w:tbl>
      <w:tblPr>
        <w:tblStyle w:val="TableNormal"/>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9"/>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10"/>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樾碧花园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11"/>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“樾碧花园”小区</w:t>
            </w:r>
            <w:r>
              <w:rPr>
                <w:rFonts w:ascii="Cambria" w:hAnsi="宋体" w:eastAsia="黑体" w:cs="Times New Roman" w:asciiTheme="majorHAnsi" w:cstheme="majorBidi"/>
                <w:sz w:val="15"/>
                <w:szCs w:val="15"/>
              </w:rPr>
              <w:t xml:space="preserve">10幢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由于樾碧花园市场交易不活跃，片区内可选案例较少，因此选择的案例A，B，C，D，距离在3公里以外。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樾碧花园住宅2025年2月挂牌均价16548元/平方米，较年初持平。待评估二手房住宅近12个月（2024年03月-2025年02月）挂牌均价波动幅度较小，价格维持在16548-18363元/平方米之间。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均价说明：樾碧花园小区物业类型包括：小高层、高层、叠加,房源均价为:16548元/平方米，包含毛坯价值以及附带装修价值。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2"/>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该房屋为36层住宅楼的第1-2层，建于2018年，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93.42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2025年02月06日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hint="eastAsia"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40" w:lineRule="exact"/>
        <w:ind w:firstLine="480" w:firstLineChars="200"/>
        <w:jc w:val="both"/>
        <w:rPr>
          <w:rFonts w:hint="eastAsia" w:ascii="宋体"/>
          <w:sz w:val="24"/>
        </w:rPr>
      </w:pPr>
      <w:r>
        <w:rPr>
          <w:rFonts w:hint="eastAsia" w:ascii="宋体"/>
          <w:sz w:val="24"/>
        </w:rPr>
        <w:t xml:space="preserve">1.6</w:t>
      </w:r>
      <w:r>
        <w:rPr>
          <w:rFonts w:ascii="宋体"/>
          <w:sz w:val="24"/>
        </w:rPr>
        <w:t xml:space="preserve">《中华人民共和国资产评估法》；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玖仟陆佰柒拾陆元整</w:t>
      </w:r>
      <w:r>
        <w:rPr>
          <w:rFonts w:hint="eastAsia" w:ascii="宋体" w:hAnsi="宋体"/>
          <w:b/>
          <w:bCs/>
          <w:sz w:val="24"/>
        </w:rPr>
        <w:t xml:space="preserve">（RMB </w:t>
      </w:r>
      <w:r>
        <w:rPr>
          <w:rFonts w:ascii="宋体" w:hAnsi="宋体"/>
          <w:b/>
          <w:bCs/>
          <w:sz w:val="24"/>
        </w:rPr>
        <w:t xml:space="preserve">9676</w:t>
      </w:r>
      <w:r>
        <w:rPr>
          <w:rFonts w:hint="eastAsia" w:ascii="宋体" w:hAnsi="宋体"/>
          <w:b/>
          <w:bCs/>
          <w:sz w:val="24"/>
        </w:rPr>
        <w:t xml:space="preserve">元/平方米）。</w:t>
      </w:r>
    </w:p>
    <w:tbl>
      <w:tblPr>
        <w:tblStyle w:val="TableNormal"/>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90.39</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9676</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2025年02月28日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2025年02月28日</w:t>
            </w:r>
          </w:p>
        </w:tc>
      </w:tr>
    </w:tbl>
    <w:p>
      <w:pPr>
        <w:widowControl w:val="0"/>
        <w:spacing w:line="520" w:lineRule="exact"/>
        <w:rPr>
          <w:rFonts w:ascii="黑体" w:eastAsia="黑体"/>
          <w:sz w:val="24"/>
        </w:rPr>
      </w:pPr>
      <w:r>
        <w:rPr>
          <w:rFonts w:hint="eastAsia" w:ascii="黑体" w:eastAsia="黑体"/>
          <w:sz w:val="24"/>
        </w:rPr>
        <w:t xml:space="preserve">十二、实地</w:t>
      </w:r>
      <w:r>
        <w:rPr>
          <w:rFonts w:hint="eastAsia" w:ascii="黑体" w:eastAsia="黑体"/>
          <w:sz w:val="24"/>
          <w:lang w:val="en-US" w:eastAsia="zh-CN"/>
        </w:rPr>
        <w:t xml:space="preserve">查勘</w:t>
      </w:r>
      <w:r>
        <w:rPr>
          <w:rFonts w:hint="eastAsia" w:ascii="黑体" w:eastAsia="黑体"/>
          <w:sz w:val="24"/>
        </w:rPr>
        <w:t xml:space="preserve">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本次实地查勘期为2025年02月06日，并于当日完成现场查勘。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2025年02月06日</w:t>
      </w:r>
      <w:r>
        <w:rPr>
          <w:rFonts w:hint="eastAsia" w:ascii="宋体"/>
          <w:sz w:val="24"/>
        </w:rPr>
        <w:t xml:space="preserve">至2025年02月28日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估价对象为苏州市吴江区“樾碧花园”住宅区内的</w:t>
      </w:r>
      <w:r>
        <w:rPr>
          <w:rFonts w:hAnsi="宋体"/>
          <w:sz w:val="24"/>
        </w:rPr>
        <w:t xml:space="preserve">叠加</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估价对象位于所在建筑物第1-2层。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位于东港河东侧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东港河东侧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附近有57路、712路、7120路等多条公交线路</w:t>
      </w:r>
      <w:r>
        <w:rPr>
          <w:rFonts w:hint="eastAsia" w:hAnsi="宋体"/>
          <w:sz w:val="24"/>
        </w:rPr>
        <w:t xml:space="preserve">，</w:t>
      </w:r>
      <w:r>
        <w:rPr>
          <w:rFonts w:hAnsi="宋体"/>
          <w:sz w:val="24"/>
        </w:rPr>
        <w:t xml:space="preserve">至公交站点的距离约为650米，公交班次平均隔10分钟有一辆汽车通过。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好又多</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交通银行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清树湾农贸市场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青橙溪源幼儿园</w:t>
      </w:r>
      <w:r>
        <w:rPr>
          <w:rFonts w:hint="eastAsia" w:ascii="宋体" w:hAnsi="宋体" w:eastAsia="宋体" w:asciiTheme="minorEastAsia" w:hAnsiTheme="minorEastAsia" w:eastAsiaTheme="minorEastAsia"/>
          <w:sz w:val="24"/>
        </w:rPr>
        <w:t xml:space="preserve">、</w:t>
      </w:r>
      <w:r>
        <w:rPr>
          <w:rFonts w:hAnsi="宋体"/>
          <w:sz w:val="24"/>
        </w:rPr>
        <w:t xml:space="preserve">齐心小学</w:t>
      </w:r>
      <w:r>
        <w:rPr>
          <w:rFonts w:hint="eastAsia" w:hAnsi="宋体"/>
          <w:sz w:val="24"/>
        </w:rPr>
        <w:t xml:space="preserve">、</w:t>
      </w:r>
      <w:r>
        <w:rPr>
          <w:rFonts w:hAnsi="宋体"/>
          <w:sz w:val="24"/>
        </w:rPr>
        <w:t xml:space="preserve">运西实验初级中学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w:t>
      </w:r>
      <w:r>
        <w:rPr>
          <w:rFonts w:hint="eastAsia" w:ascii="宋体" w:hAnsi="宋体"/>
          <w:sz w:val="24"/>
          <w:lang w:val="en-US" w:eastAsia="zh-CN"/>
        </w:rPr>
        <w:t xml:space="preserve">所在小区</w:t>
      </w:r>
      <w:bookmarkStart w:name="_GoBack" w:id="10"/>
      <w:bookmarkEnd w:id="10"/>
      <w:r>
        <w:rPr>
          <w:rFonts w:hint="eastAsia" w:ascii="宋体" w:hAnsi="宋体"/>
          <w:sz w:val="24"/>
        </w:rPr>
        <w:t xml:space="preserve">东至</w:t>
      </w:r>
      <w:r>
        <w:rPr>
          <w:rFonts w:ascii="宋体" w:hAnsi="宋体"/>
          <w:sz w:val="24"/>
        </w:rPr>
        <w:t xml:space="preserve">中山北路</w:t>
      </w:r>
      <w:r>
        <w:rPr>
          <w:rFonts w:hint="eastAsia" w:ascii="宋体" w:hAnsi="宋体"/>
          <w:sz w:val="24"/>
        </w:rPr>
        <w:t xml:space="preserve">，南至</w:t>
      </w:r>
      <w:r>
        <w:rPr>
          <w:rFonts w:ascii="宋体" w:hAnsi="宋体"/>
          <w:sz w:val="24"/>
        </w:rPr>
        <w:t xml:space="preserve">兴中路</w:t>
      </w:r>
      <w:r>
        <w:rPr>
          <w:rFonts w:hint="eastAsia" w:ascii="宋体" w:hAnsi="宋体"/>
          <w:sz w:val="24"/>
        </w:rPr>
        <w:t xml:space="preserve">，西至</w:t>
      </w:r>
      <w:r>
        <w:rPr>
          <w:rFonts w:ascii="宋体" w:hAnsi="宋体"/>
          <w:sz w:val="24"/>
        </w:rPr>
        <w:t xml:space="preserve">东港河</w:t>
      </w:r>
      <w:r>
        <w:rPr>
          <w:rFonts w:hint="eastAsia" w:ascii="宋体" w:hAnsi="宋体"/>
          <w:sz w:val="24"/>
        </w:rPr>
        <w:t xml:space="preserve">，北至</w:t>
      </w:r>
      <w:r>
        <w:rPr>
          <w:rFonts w:ascii="宋体" w:hAnsi="宋体"/>
          <w:sz w:val="24"/>
        </w:rPr>
        <w:t xml:space="preserve">河流</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估价对象为坐落于苏州市吴江区樾碧花园</w:t>
      </w:r>
      <w:r>
        <w:t xml:space="preserve"> </w:t>
      </w:r>
      <w:r>
        <w:rPr>
          <w:rFonts w:ascii="宋体" w:hAnsi="宋体"/>
          <w:kern w:val="2"/>
          <w:sz w:val="24"/>
        </w:rPr>
        <w:t xml:space="preserve">10幢105室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估价对象为叠加建筑，建筑面积为</w:t>
      </w:r>
      <w:r>
        <w:rPr>
          <w:rFonts w:hAnsi="宋体"/>
          <w:sz w:val="24"/>
        </w:rPr>
        <w:t xml:space="preserve">93.42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3层数、层高：估价对象位于总楼层为36层的第1-2层，层高约2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估价对象建成于2018年，基础较为稳固，未见沉降；墙面、地面、门窗等保养完好，综合保养成新度为</w:t>
      </w:r>
      <w:r>
        <w:rPr>
          <w:rFonts w:hAnsi="宋体"/>
          <w:sz w:val="24"/>
        </w:rPr>
        <w:t xml:space="preserve">九五成新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1"/>
      <w:bookmarkStart w:name="_Hlk159245597" w:id="12"/>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1"/>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2"/>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TableNormal"/>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3"/>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3"/>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4"/>
      <w:bookmarkStart w:name="_Hlk38977133" w:id="15"/>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4"/>
      <w:r>
        <w:rPr>
          <w:rFonts w:ascii="宋体" w:hAnsi="宋体"/>
          <w:sz w:val="24"/>
          <w:szCs w:val="24"/>
        </w:rPr>
        <w:t xml:space="preserve">。</w:t>
      </w:r>
      <w:bookmarkEnd w:id="15"/>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樾碧花园住宅2025年2月挂牌均价16548元/平方米，较年初持平。待评估二手房住宅近12个月（2024年03月-2025年02月）挂牌均价波动幅度较小，价格维持在16548-18363元/平方米之间。</w:t>
      </w:r>
    </w:p>
    <w:tbl>
      <w:tblPr>
        <w:tblStyle w:val="TableNormal"/>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3"/>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2"/>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苏州市吴江区樾碧花园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TableNormal"/>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F32050920240014273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F32050920240046754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F32050920240034688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s202410080198</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吴江区松陵镇樾碧花园10幢105室叠加住宅标准房基准价格评估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悦棠湾花苑16幢1005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奥林清华西区95幢1601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水城名邸4幢1004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皇家领誉6幢103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93.42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167.4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139.96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143.39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276.83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10-11/34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16-18/18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10-11/18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2025年02月06日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2024年07月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2024年10月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9976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10360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9485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9711</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指数，吴江区2024年02月至2025年01月住宅月度价格指数表为：</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358"/>
        <w:gridCol w:w="1716"/>
        <w:gridCol w:w="1816"/>
        <w:gridCol w:w="1816"/>
        <w:gridCol w:w="181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2024年05月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2025年01月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1881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TableNormal"/>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2025年01月06日</w:t>
            </w:r>
          </w:p>
        </w:tc>
        <w:tc>
          <w:tcPr>
            <w:tcW w:w="778" w:type="pct"/>
            <w:shd w:val="clear" w:color="auto" w:fill="FFFFFF"/>
            <w:vAlign w:val="center"/>
          </w:tcPr>
          <w:p>
            <w:pPr>
              <w:jc w:val="center"/>
            </w:pPr>
            <w:r>
              <w:rPr>
                <w:rFonts w:hint="eastAsia" w:ascii="宋体" w:hAnsi="宋体" w:cs="宋体"/>
              </w:rPr>
              <w:t xml:space="preserve">2024年03月</w:t>
            </w:r>
          </w:p>
        </w:tc>
        <w:tc>
          <w:tcPr>
            <w:tcW w:w="779" w:type="pct"/>
            <w:shd w:val="clear" w:color="auto" w:fill="FFFFFF"/>
            <w:vAlign w:val="center"/>
          </w:tcPr>
          <w:p>
            <w:pPr>
              <w:jc w:val="center"/>
            </w:pPr>
            <w:r>
              <w:rPr>
                <w:rFonts w:hint="eastAsia" w:ascii="宋体" w:hAnsi="宋体" w:cs="宋体"/>
              </w:rPr>
              <w:t xml:space="preserve">2024年10月</w:t>
            </w:r>
          </w:p>
        </w:tc>
        <w:tc>
          <w:tcPr>
            <w:tcW w:w="779" w:type="pct"/>
            <w:shd w:val="clear" w:color="auto" w:fill="FFFFFF"/>
            <w:vAlign w:val="center"/>
          </w:tcPr>
          <w:p>
            <w:pPr>
              <w:jc w:val="center"/>
            </w:pPr>
            <w:r>
              <w:rPr>
                <w:rFonts w:hint="eastAsia" w:ascii="宋体" w:hAnsi="宋体" w:cs="宋体"/>
              </w:rPr>
              <w:t xml:space="preserve">2024年07月</w:t>
            </w:r>
          </w:p>
        </w:tc>
        <w:tc>
          <w:tcPr>
            <w:tcW w:w="779" w:type="pct"/>
            <w:shd w:val="clear" w:color="auto" w:fill="FFFFFF"/>
            <w:vAlign w:val="center"/>
          </w:tcPr>
          <w:p>
            <w:pPr>
              <w:jc w:val="center"/>
            </w:pPr>
            <w:r>
              <w:rPr>
                <w:rFonts w:hint="eastAsia" w:ascii="宋体" w:hAnsi="宋体" w:cs="宋体"/>
              </w:rPr>
              <w:t xml:space="preserve">2024年10月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9976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10360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9485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9711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1881</w:t>
            </w:r>
          </w:p>
        </w:tc>
        <w:tc>
          <w:tcPr>
            <w:tcW w:w="778" w:type="pct"/>
            <w:shd w:val="clear" w:color="auto" w:fill="FFFFFF"/>
            <w:vAlign w:val="center"/>
          </w:tcPr>
          <w:p>
            <w:pPr>
              <w:jc w:val="center"/>
            </w:pPr>
            <w:r>
              <w:rPr>
                <w:rFonts w:hint="eastAsia" w:ascii="宋体" w:hAnsi="宋体" w:cs="宋体"/>
              </w:rPr>
              <w:t xml:space="preserve">1971</w:t>
            </w:r>
          </w:p>
        </w:tc>
        <w:tc>
          <w:tcPr>
            <w:tcW w:w="779" w:type="pct"/>
            <w:shd w:val="clear" w:color="auto" w:fill="FFFFFF"/>
            <w:vAlign w:val="center"/>
          </w:tcPr>
          <w:p>
            <w:pPr>
              <w:jc w:val="center"/>
            </w:pPr>
            <w:r>
              <w:rPr>
                <w:rFonts w:hint="eastAsia" w:ascii="宋体" w:hAnsi="宋体" w:cs="宋体"/>
              </w:rPr>
              <w:t xml:space="preserve">1919</w:t>
            </w:r>
          </w:p>
        </w:tc>
        <w:tc>
          <w:tcPr>
            <w:tcW w:w="779" w:type="pct"/>
            <w:shd w:val="clear" w:color="auto" w:fill="FFFFFF"/>
            <w:vAlign w:val="center"/>
          </w:tcPr>
          <w:p>
            <w:pPr>
              <w:jc w:val="center"/>
            </w:pPr>
            <w:r>
              <w:rPr>
                <w:rFonts w:hint="eastAsia" w:ascii="宋体" w:hAnsi="宋体" w:cs="宋体"/>
              </w:rPr>
              <w:t xml:space="preserve">1917</w:t>
            </w:r>
          </w:p>
        </w:tc>
        <w:tc>
          <w:tcPr>
            <w:tcW w:w="779" w:type="pct"/>
            <w:shd w:val="clear" w:color="auto" w:fill="FFFFFF"/>
            <w:vAlign w:val="center"/>
          </w:tcPr>
          <w:p>
            <w:pPr>
              <w:jc w:val="center"/>
            </w:pPr>
            <w:r>
              <w:rPr>
                <w:rFonts w:hint="eastAsia" w:ascii="宋体" w:hAnsi="宋体" w:cs="宋体"/>
              </w:rPr>
              <w:t xml:space="preserve">1919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1881/1881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1881/1919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1881/1917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1881/1919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0.9543</w:t>
            </w:r>
          </w:p>
        </w:tc>
        <w:tc>
          <w:tcPr>
            <w:tcW w:w="779" w:type="pct"/>
            <w:shd w:val="clear" w:color="auto" w:fill="FFFFFF"/>
            <w:vAlign w:val="center"/>
          </w:tcPr>
          <w:p>
            <w:pPr>
              <w:jc w:val="center"/>
            </w:pPr>
            <w:r>
              <w:rPr>
                <w:rFonts w:hint="eastAsia" w:ascii="宋体" w:hAnsi="宋体" w:cs="宋体"/>
              </w:rPr>
              <w:t xml:space="preserve">0.9802</w:t>
            </w:r>
          </w:p>
        </w:tc>
        <w:tc>
          <w:tcPr>
            <w:tcW w:w="779" w:type="pct"/>
            <w:shd w:val="clear" w:color="auto" w:fill="FFFFFF"/>
            <w:vAlign w:val="center"/>
          </w:tcPr>
          <w:p>
            <w:pPr>
              <w:jc w:val="center"/>
            </w:pPr>
            <w:r>
              <w:rPr>
                <w:rFonts w:hint="eastAsia" w:ascii="宋体" w:hAnsi="宋体" w:cs="宋体"/>
              </w:rPr>
              <w:t xml:space="preserve">0.9812</w:t>
            </w:r>
          </w:p>
        </w:tc>
        <w:tc>
          <w:tcPr>
            <w:tcW w:w="779" w:type="pct"/>
            <w:shd w:val="clear" w:color="auto" w:fill="FFFFFF"/>
            <w:vAlign w:val="center"/>
          </w:tcPr>
          <w:p>
            <w:pPr>
              <w:jc w:val="center"/>
            </w:pPr>
            <w:r>
              <w:rPr>
                <w:rFonts w:hint="eastAsia" w:ascii="宋体" w:hAnsi="宋体" w:cs="宋体"/>
              </w:rPr>
              <w:t xml:space="preserve">0.9802</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备注：在价值时点2025年02月06日</w:t>
      </w:r>
      <w:r>
        <w:rPr>
          <w:rFonts w:hint="eastAsia" w:ascii="宋体" w:hAnsi="宋体" w:cs="宋体"/>
          <w:sz w:val="24"/>
          <w:szCs w:val="24"/>
        </w:rPr>
        <w:t xml:space="preserve">，2025年02月份价格指数尚未公布，本次估价采用2025年01月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TableNormal"/>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2"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4"/>
            <o:lock v:ext="edit" aspectratio="t"/>
            <w10:anchorlock/>
          </v:shape>
          <o:OLEObject Type="Embed" ProgID="Equation.3" ShapeID="_x0000_i0003" DrawAspect="Content" ObjectID="_401303705" r:id="rId15"/>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EQ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TableNormal"/>
        <w:tblW w:w="5000" w:type="pct"/>
        <w:jc w:val="center"/>
        <w:tblCellMar>
          <w:top w:w="0" w:type="dxa"/>
          <w:left w:w="108" w:type="dxa"/>
          <w:bottom w:w="0" w:type="dxa"/>
          <w:right w:w="108" w:type="dxa"/>
        </w:tblCellMar>
        <w:tblLook w:firstRow="0" w:lastRow="0" w:firstColumn="0" w:lastColumn="0" w:noHBand="1" w:noVBand="1"/>
      </w:tblPr>
      <w:tblGrid>
        <w:gridCol w:w="1804"/>
        <w:gridCol w:w="1416"/>
        <w:gridCol w:w="1325"/>
        <w:gridCol w:w="1325"/>
        <w:gridCol w:w="1326"/>
        <w:gridCol w:w="1326"/>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吴江区松陵镇樾碧花园10幢105室叠加住宅标准房基准价格评估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悦棠湾花苑16幢1005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奥林清华西区95幢1601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水城名邸4幢1004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皇家领誉6幢103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93.42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167.4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139.96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143.39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276.83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106.9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107.99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0.9961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0.9853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9976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10360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9485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9711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9274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9448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9568</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TableNormal"/>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5"/>
        <w:gridCol w:w="1572"/>
        <w:gridCol w:w="1572"/>
        <w:gridCol w:w="1572"/>
        <w:gridCol w:w="1571"/>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9976</w:t>
            </w:r>
          </w:p>
        </w:tc>
        <w:tc>
          <w:tcPr>
            <w:tcW w:w="922" w:type="pct"/>
            <w:shd w:val="clear" w:color="auto" w:fill="auto"/>
            <w:vAlign w:val="center"/>
          </w:tcPr>
          <w:p>
            <w:pPr>
              <w:jc w:val="center"/>
              <w:rPr>
                <w:rFonts w:ascii="宋体" w:hAnsi="宋体" w:cs="宋体"/>
              </w:rPr>
            </w:pPr>
            <w:r>
              <w:rPr>
                <w:rFonts w:hint="eastAsia" w:ascii="宋体" w:hAnsi="宋体" w:cs="宋体"/>
              </w:rPr>
              <w:t xml:space="preserve">10360</w:t>
            </w:r>
          </w:p>
        </w:tc>
        <w:tc>
          <w:tcPr>
            <w:tcW w:w="922" w:type="pct"/>
            <w:shd w:val="clear" w:color="auto" w:fill="auto"/>
            <w:vAlign w:val="center"/>
          </w:tcPr>
          <w:p>
            <w:pPr>
              <w:jc w:val="center"/>
              <w:rPr>
                <w:rFonts w:ascii="宋体" w:hAnsi="宋体" w:cs="宋体"/>
              </w:rPr>
            </w:pPr>
            <w:r>
              <w:rPr>
                <w:rFonts w:hint="eastAsia" w:ascii="宋体" w:hAnsi="宋体" w:cs="宋体"/>
              </w:rPr>
              <w:t xml:space="preserve">9485</w:t>
            </w:r>
          </w:p>
        </w:tc>
        <w:tc>
          <w:tcPr>
            <w:tcW w:w="922" w:type="pct"/>
            <w:shd w:val="clear" w:color="auto" w:fill="auto"/>
            <w:vAlign w:val="center"/>
          </w:tcPr>
          <w:p>
            <w:pPr>
              <w:jc w:val="center"/>
              <w:rPr>
                <w:rFonts w:ascii="宋体" w:hAnsi="宋体" w:cs="宋体"/>
              </w:rPr>
            </w:pPr>
            <w:r>
              <w:rPr>
                <w:rFonts w:hint="eastAsia" w:ascii="宋体" w:hAnsi="宋体" w:cs="宋体"/>
              </w:rPr>
              <w:t xml:space="preserve">9711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0.9543</w:t>
            </w:r>
          </w:p>
        </w:tc>
        <w:tc>
          <w:tcPr>
            <w:tcW w:w="922" w:type="pct"/>
            <w:shd w:val="clear" w:color="auto" w:fill="auto"/>
            <w:vAlign w:val="center"/>
          </w:tcPr>
          <w:p>
            <w:pPr>
              <w:jc w:val="center"/>
              <w:rPr>
                <w:rFonts w:ascii="宋体" w:hAnsi="宋体" w:cs="宋体"/>
              </w:rPr>
            </w:pPr>
            <w:r>
              <w:rPr>
                <w:rFonts w:hint="eastAsia" w:ascii="宋体" w:hAnsi="宋体" w:cs="宋体"/>
              </w:rPr>
              <w:t xml:space="preserve">0.9802</w:t>
            </w:r>
          </w:p>
        </w:tc>
        <w:tc>
          <w:tcPr>
            <w:tcW w:w="922" w:type="pct"/>
            <w:shd w:val="clear" w:color="auto" w:fill="auto"/>
            <w:vAlign w:val="center"/>
          </w:tcPr>
          <w:p>
            <w:pPr>
              <w:jc w:val="center"/>
              <w:rPr>
                <w:rFonts w:ascii="宋体" w:hAnsi="宋体" w:cs="宋体"/>
              </w:rPr>
            </w:pPr>
            <w:r>
              <w:rPr>
                <w:rFonts w:hint="eastAsia" w:ascii="宋体" w:hAnsi="宋体" w:cs="宋体"/>
              </w:rPr>
              <w:t xml:space="preserve">0.9812</w:t>
            </w:r>
          </w:p>
        </w:tc>
        <w:tc>
          <w:tcPr>
            <w:tcW w:w="922" w:type="pct"/>
            <w:shd w:val="clear" w:color="auto" w:fill="auto"/>
            <w:vAlign w:val="center"/>
          </w:tcPr>
          <w:p>
            <w:pPr>
              <w:jc w:val="center"/>
              <w:rPr>
                <w:rFonts w:ascii="宋体" w:hAnsi="宋体" w:cs="宋体"/>
              </w:rPr>
            </w:pPr>
            <w:r>
              <w:rPr>
                <w:rFonts w:hint="eastAsia" w:ascii="宋体" w:hAnsi="宋体" w:cs="宋体"/>
              </w:rPr>
              <w:t xml:space="preserve">0.9802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109.08/106.9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109.08/107.99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109.08/109.06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0.9497</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1.0052</w:t>
            </w:r>
          </w:p>
        </w:tc>
        <w:tc>
          <w:tcPr>
            <w:tcW w:w="922" w:type="pct"/>
            <w:shd w:val="clear" w:color="auto" w:fill="auto"/>
            <w:vAlign w:val="center"/>
          </w:tcPr>
          <w:p>
            <w:pPr>
              <w:jc w:val="center"/>
              <w:rPr>
                <w:rFonts w:ascii="宋体" w:hAnsi="宋体" w:cs="宋体"/>
              </w:rPr>
            </w:pPr>
            <w:r>
              <w:rPr>
                <w:rFonts w:hint="eastAsia" w:ascii="宋体" w:hAnsi="宋体" w:cs="宋体"/>
              </w:rPr>
              <w:t xml:space="preserve">0.9961</w:t>
            </w:r>
          </w:p>
        </w:tc>
        <w:tc>
          <w:tcPr>
            <w:tcW w:w="922" w:type="pct"/>
            <w:shd w:val="clear" w:color="auto" w:fill="auto"/>
            <w:vAlign w:val="center"/>
          </w:tcPr>
          <w:p>
            <w:pPr>
              <w:jc w:val="center"/>
              <w:rPr>
                <w:rFonts w:ascii="宋体" w:hAnsi="宋体" w:cs="宋体"/>
              </w:rPr>
            </w:pPr>
            <w:r>
              <w:rPr>
                <w:rFonts w:hint="eastAsia" w:ascii="宋体" w:hAnsi="宋体" w:cs="宋体"/>
              </w:rPr>
              <w:t xml:space="preserve">0.9853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9474</w:t>
            </w:r>
          </w:p>
        </w:tc>
        <w:tc>
          <w:tcPr>
            <w:tcW w:w="922" w:type="pct"/>
            <w:shd w:val="clear" w:color="auto" w:fill="auto"/>
            <w:vAlign w:val="center"/>
          </w:tcPr>
          <w:p>
            <w:pPr>
              <w:jc w:val="center"/>
              <w:rPr>
                <w:rFonts w:ascii="宋体" w:hAnsi="宋体" w:cs="宋体"/>
              </w:rPr>
            </w:pPr>
            <w:r>
              <w:rPr>
                <w:rFonts w:hint="eastAsia" w:ascii="宋体" w:hAnsi="宋体" w:cs="宋体"/>
              </w:rPr>
              <w:t xml:space="preserve">10414</w:t>
            </w:r>
          </w:p>
        </w:tc>
        <w:tc>
          <w:tcPr>
            <w:tcW w:w="922" w:type="pct"/>
            <w:shd w:val="clear" w:color="auto" w:fill="auto"/>
            <w:vAlign w:val="center"/>
          </w:tcPr>
          <w:p>
            <w:pPr>
              <w:jc w:val="center"/>
              <w:rPr>
                <w:rFonts w:ascii="宋体" w:hAnsi="宋体" w:cs="宋体"/>
              </w:rPr>
            </w:pPr>
            <w:r>
              <w:rPr>
                <w:rFonts w:hint="eastAsia" w:ascii="宋体" w:hAnsi="宋体" w:cs="宋体"/>
              </w:rPr>
              <w:t xml:space="preserve">9448</w:t>
            </w:r>
          </w:p>
        </w:tc>
        <w:tc>
          <w:tcPr>
            <w:tcW w:w="922" w:type="pct"/>
            <w:shd w:val="clear" w:color="auto" w:fill="auto"/>
            <w:vAlign w:val="center"/>
          </w:tcPr>
          <w:p>
            <w:pPr>
              <w:jc w:val="center"/>
              <w:rPr>
                <w:rFonts w:ascii="宋体" w:hAnsi="宋体" w:cs="宋体"/>
              </w:rPr>
            </w:pPr>
            <w:r>
              <w:rPr>
                <w:rFonts w:hint="eastAsia" w:ascii="宋体" w:hAnsi="宋体" w:cs="宋体"/>
              </w:rPr>
              <w:t xml:space="preserve">9568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200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9274</w:t>
            </w:r>
          </w:p>
        </w:tc>
        <w:tc>
          <w:tcPr>
            <w:tcW w:w="922" w:type="pct"/>
            <w:shd w:val="clear" w:color="auto" w:fill="auto"/>
            <w:vAlign w:val="center"/>
          </w:tcPr>
          <w:p>
            <w:pPr>
              <w:jc w:val="center"/>
              <w:rPr>
                <w:rFonts w:ascii="宋体" w:hAnsi="宋体" w:cs="宋体"/>
              </w:rPr>
            </w:pPr>
            <w:r>
              <w:rPr>
                <w:rFonts w:hint="eastAsia" w:ascii="宋体" w:hAnsi="宋体" w:cs="宋体"/>
              </w:rPr>
              <w:t xml:space="preserve">10414</w:t>
            </w:r>
          </w:p>
        </w:tc>
        <w:tc>
          <w:tcPr>
            <w:tcW w:w="922" w:type="pct"/>
            <w:shd w:val="clear" w:color="auto" w:fill="auto"/>
            <w:vAlign w:val="center"/>
          </w:tcPr>
          <w:p>
            <w:pPr>
              <w:jc w:val="center"/>
              <w:rPr>
                <w:rFonts w:ascii="宋体" w:hAnsi="宋体" w:cs="宋体"/>
              </w:rPr>
            </w:pPr>
            <w:r>
              <w:rPr>
                <w:rFonts w:hint="eastAsia" w:ascii="宋体" w:hAnsi="宋体" w:cs="宋体"/>
              </w:rPr>
              <w:t xml:space="preserve">9448</w:t>
            </w:r>
          </w:p>
        </w:tc>
        <w:tc>
          <w:tcPr>
            <w:tcW w:w="922" w:type="pct"/>
            <w:shd w:val="clear" w:color="auto" w:fill="auto"/>
            <w:vAlign w:val="center"/>
          </w:tcPr>
          <w:p>
            <w:pPr>
              <w:jc w:val="center"/>
              <w:rPr>
                <w:rFonts w:ascii="宋体" w:hAnsi="宋体" w:cs="宋体"/>
              </w:rPr>
            </w:pPr>
            <w:r>
              <w:rPr>
                <w:rFonts w:hint="eastAsia" w:ascii="宋体" w:hAnsi="宋体" w:cs="宋体"/>
              </w:rPr>
              <w:t xml:space="preserve">9568</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9676</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TableNormal"/>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F32050920240014273</w:t>
            </w:r>
          </w:p>
        </w:tc>
        <w:tc>
          <w:tcPr>
            <w:tcW w:w="1842" w:type="dxa"/>
            <w:vAlign w:val="center"/>
          </w:tcPr>
          <w:p>
            <w:pPr>
              <w:jc w:val="center"/>
            </w:pPr>
            <w:r>
              <w:rPr>
                <w:rFonts w:hint="eastAsia" w:ascii="宋体" w:hAnsi="宋体" w:cs="宋体"/>
              </w:rPr>
              <w:t xml:space="preserve">F32050920240046754</w:t>
            </w:r>
          </w:p>
        </w:tc>
        <w:tc>
          <w:tcPr>
            <w:tcW w:w="1843" w:type="dxa"/>
            <w:vAlign w:val="center"/>
          </w:tcPr>
          <w:p>
            <w:pPr>
              <w:jc w:val="center"/>
            </w:pPr>
            <w:r>
              <w:rPr>
                <w:rFonts w:hint="eastAsia" w:ascii="宋体" w:hAnsi="宋体" w:cs="宋体"/>
              </w:rPr>
              <w:t xml:space="preserve">F32050920240034688</w:t>
            </w:r>
          </w:p>
        </w:tc>
        <w:tc>
          <w:tcPr>
            <w:tcW w:w="1985" w:type="dxa"/>
            <w:vAlign w:val="center"/>
          </w:tcPr>
          <w:p>
            <w:pPr>
              <w:jc w:val="center"/>
            </w:pPr>
            <w:r>
              <w:rPr>
                <w:rFonts w:hint="eastAsia" w:ascii="宋体" w:hAnsi="宋体" w:cs="宋体"/>
              </w:rPr>
              <w:t xml:space="preserve">s202410080198</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悦棠湾花苑16幢1005</w:t>
            </w:r>
          </w:p>
        </w:tc>
        <w:tc>
          <w:tcPr>
            <w:tcW w:w="1842" w:type="dxa"/>
            <w:vAlign w:val="center"/>
          </w:tcPr>
          <w:p>
            <w:pPr>
              <w:jc w:val="center"/>
            </w:pPr>
            <w:r>
              <w:rPr>
                <w:rFonts w:hint="eastAsia" w:ascii="宋体" w:hAnsi="宋体" w:cs="宋体"/>
              </w:rPr>
              <w:t xml:space="preserve">奥林清华西区95幢1601</w:t>
            </w:r>
          </w:p>
        </w:tc>
        <w:tc>
          <w:tcPr>
            <w:tcW w:w="1843" w:type="dxa"/>
            <w:vAlign w:val="center"/>
          </w:tcPr>
          <w:p>
            <w:pPr>
              <w:jc w:val="center"/>
            </w:pPr>
            <w:r>
              <w:rPr>
                <w:rFonts w:hint="eastAsia" w:ascii="宋体" w:hAnsi="宋体" w:cs="宋体"/>
              </w:rPr>
              <w:t xml:space="preserve">水城名邸4幢1004</w:t>
            </w:r>
          </w:p>
        </w:tc>
        <w:tc>
          <w:tcPr>
            <w:tcW w:w="1985" w:type="dxa"/>
            <w:vAlign w:val="center"/>
          </w:tcPr>
          <w:p>
            <w:pPr>
              <w:jc w:val="center"/>
            </w:pPr>
            <w:r>
              <w:rPr>
                <w:rFonts w:hint="eastAsia" w:ascii="宋体" w:hAnsi="宋体" w:cs="宋体"/>
              </w:rPr>
              <w:t xml:space="preserve">皇家领誉6幢103</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悦棠湾花苑16幢1005</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7"/>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奥林清华西区95幢1601</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9"/>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水城名邸4幢1004</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21"/>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皇家领誉6幢103</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2"/>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3"/>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TableNormal"/>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4"/>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TableNormal"/>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5"/>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TableNormal"/>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6"/>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7"/>
                </v:shape>
              </w:pict>
            </w:r>
          </w:p>
        </w:tc>
      </w:tr>
    </w:tbl>
    <w:p>
      <w:pPr>
        <w:spacing w:line="360" w:lineRule="auto"/>
        <w:jc w:val="both"/>
        <w:rPr>
          <w:rFonts w:ascii="仿宋_GB2312" w:hAnsi="华文仿宋" w:eastAsia="仿宋_GB2312"/>
          <w:bCs/>
          <w:sz w:val="28"/>
          <w:szCs w:val="28"/>
        </w:rPr>
      </w:pPr>
    </w:p>
    <w:sectPr>
      <w:footerReference w:type="default" r:id="rId28"/>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Auto"/>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Auto"/>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Auto"/>
    <w:pitch w:val="default"/>
    <w:sig w:usb0="E0002EFF" w:usb1="C0007843" w:usb2="00000009" w:usb3="00000000" w:csb0="400001FF" w:csb1="FFFF0000"/>
  </w:font>
  <w:font w:name="Symbol">
    <w:panose1 w:val="05050102010706020507"/>
    <w:charset w:val="02"/>
    <w:family w:val="Auto"/>
    <w:pitch w:val="default"/>
    <w:sig w:usb0="00000000" w:usb1="00000000" w:usb2="00000000" w:usb3="00000000" w:csb0="80000000" w:csb1="00000000"/>
  </w:font>
  <w:font w:name="Calibri">
    <w:panose1 w:val="020F0502020204030204"/>
    <w:charset w:val="00"/>
    <w:family w:val="Auto"/>
    <w:pitch w:val="default"/>
    <w:sig w:usb0="E4002EFF" w:usb1="C200247B" w:usb2="00000009" w:usb3="00000000" w:csb0="200001FF" w:csb1="00000000"/>
  </w:font>
  <w:font w:name="Calibri Light">
    <w:panose1 w:val="020F0302020204030204"/>
    <w:charset w:val="00"/>
    <w:family w:val="Auto"/>
    <w:pitch w:val="default"/>
    <w:sig w:usb0="E4002EFF" w:usb1="C2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楷体_GB2312">
    <w:panose1 w:val="02010609030101010101"/>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Auto"/>
    <w:pitch w:val="default"/>
    <w:sig w:usb0="800002BF" w:usb1="38CF7CFA" w:usb2="00000016" w:usb3="00000000" w:csb0="00040001" w:csb1="00000000"/>
  </w:font>
  <w:font w:name="Baskerville">
    <w:panose1 w:val="00000000000000000000"/>
    <w:charset w:val="00"/>
    <w:family w:val="Auto"/>
    <w:pitch w:val="default"/>
    <w:sig w:usb0="00000000" w:usb1="00000000" w:usb2="00000000" w:usb3="00000000" w:csb0="00000001" w:csb1="00000000"/>
  </w:font>
  <w:font w:name="C059">
    <w:panose1 w:val="00000500000000000000"/>
    <w:charset w:val="00"/>
    <w:family w:val="Auto"/>
    <w:pitch w:val="default"/>
    <w:sig w:usb0="00000000" w:usb1="000000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1" w:usb1="080F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Baskerville Old Face">
    <w:panose1 w:val="02020602080505020303"/>
    <w:charset w:val="00"/>
    <w:family w:val="Auto"/>
    <w:pitch w:val="default"/>
    <w:sig w:usb0="00000003" w:usb1="00000000" w:usb2="00000000" w:usb3="00000000" w:csb0="200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1080" w:hanging="360"/>
      </w:pPr>
      <w:rPr>
        <w:rFonts w:ascii="Times New Roman" w:eastAsia="Times New Roman" w:hAnsi="Times New Roman" w:cs="Times New Roman"/>
      </w:rPr>
    </w:lvl>
    <w:lvl w:ilvl="1">
      <w:start w:val="1"/>
      <w:numFmt w:val="lowerLetter"/>
      <w:suff w:val="tab"/>
      <w:lvlText w:val="%2."/>
      <w:lvlJc w:val="right"/>
      <w:pPr>
        <w:ind w:left="1800" w:hanging="360"/>
      </w:pPr>
      <w:rPr>
        <w:rFonts w:ascii="Times New Roman" w:eastAsia="Times New Roman" w:hAnsi="Times New Roman" w:cs="Times New Roman"/>
      </w:rPr>
    </w:lvl>
    <w:lvl w:ilvl="2">
      <w:start w:val="1"/>
      <w:numFmt w:val="lowerRoman"/>
      <w:suff w:val="tab"/>
      <w:lvlText w:val="%3."/>
      <w:lvlJc w:val="left"/>
      <w:pPr>
        <w:ind w:left="2520" w:hanging="360"/>
      </w:pPr>
      <w:rPr>
        <w:rFonts w:ascii="Times New Roman" w:eastAsia="Times New Roman" w:hAnsi="Times New Roman" w:cs="Times New Roman"/>
      </w:rPr>
    </w:lvl>
    <w:lvl w:ilvl="3">
      <w:start w:val="1"/>
      <w:numFmt w:val="decimal"/>
      <w:suff w:val="tab"/>
      <w:lvlText w:val="%4."/>
      <w:lvlJc w:val="left"/>
      <w:pPr>
        <w:ind w:left="3240" w:hanging="360"/>
      </w:pPr>
      <w:rPr>
        <w:rFonts w:ascii="Times New Roman" w:eastAsia="Times New Roman" w:hAnsi="Times New Roman" w:cs="Times New Roman"/>
      </w:rPr>
    </w:lvl>
    <w:lvl w:ilvl="4">
      <w:start w:val="1"/>
      <w:numFmt w:val="lowerLetter"/>
      <w:suff w:val="tab"/>
      <w:lvlText w:val="%5."/>
      <w:lvlJc w:val="right"/>
      <w:pPr>
        <w:ind w:left="3960" w:hanging="360"/>
      </w:pPr>
      <w:rPr>
        <w:rFonts w:ascii="Times New Roman" w:eastAsia="Times New Roman" w:hAnsi="Times New Roman" w:cs="Times New Roman"/>
      </w:rPr>
    </w:lvl>
    <w:lvl w:ilvl="5">
      <w:start w:val="1"/>
      <w:numFmt w:val="lowerRoman"/>
      <w:suff w:val="tab"/>
      <w:lvlText w:val="%6."/>
      <w:lvlJc w:val="left"/>
      <w:pPr>
        <w:ind w:left="4680" w:hanging="360"/>
      </w:pPr>
      <w:rPr>
        <w:rFonts w:ascii="Times New Roman" w:eastAsia="Times New Roman" w:hAnsi="Times New Roman" w:cs="Times New Roman"/>
      </w:rPr>
    </w:lvl>
    <w:lvl w:ilvl="6">
      <w:start w:val="1"/>
      <w:numFmt w:val="decimal"/>
      <w:suff w:val="tab"/>
      <w:lvlText w:val="%7."/>
      <w:lvlJc w:val="left"/>
      <w:pPr>
        <w:ind w:left="5400" w:hanging="360"/>
      </w:pPr>
      <w:rPr>
        <w:rFonts w:ascii="Times New Roman" w:eastAsia="Times New Roman" w:hAnsi="Times New Roman" w:cs="Times New Roman"/>
      </w:rPr>
    </w:lvl>
    <w:lvl w:ilvl="7">
      <w:start w:val="1"/>
      <w:numFmt w:val="lowerLetter"/>
      <w:suff w:val="tab"/>
      <w:lvlText w:val="%8."/>
      <w:lvlJc w:val="right"/>
      <w:pPr>
        <w:ind w:left="6120" w:hanging="360"/>
      </w:pPr>
      <w:rPr>
        <w:rFonts w:ascii="Times New Roman" w:eastAsia="Times New Roman" w:hAnsi="Times New Roman" w:cs="Times New Roman"/>
      </w:rPr>
    </w:lvl>
    <w:lvl w:ilvl="8">
      <w:start w:val="1"/>
      <w:numFmt w:val="lowerRoman"/>
      <w:suff w:val="tab"/>
      <w:lvlText w:val="%9."/>
      <w:lvlJc w:val="left"/>
      <w:pPr>
        <w:ind w:left="684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1080" w:hanging="360"/>
      </w:pPr>
      <w:rPr>
        <w:rFonts w:ascii="Symbol" w:eastAsia="Symbol" w:hAnsi="Symbol" w:cs="Symbol"/>
      </w:rPr>
    </w:lvl>
    <w:lvl w:ilvl="1">
      <w:start w:val="1"/>
      <w:numFmt w:val="bullet"/>
      <w:suff w:val="tab"/>
      <w:lvlText w:val="o"/>
      <w:lvlJc w:val="left"/>
      <w:pPr>
        <w:ind w:left="1800" w:hanging="360"/>
      </w:pPr>
      <w:rPr>
        <w:rFonts w:ascii="Courier New" w:eastAsia="Courier New" w:hAnsi="Courier New" w:cs="Courier New"/>
      </w:rPr>
    </w:lvl>
    <w:lvl w:ilvl="2">
      <w:start w:val="1"/>
      <w:numFmt w:val="bullet"/>
      <w:suff w:val="tab"/>
      <w:lvlText w:val=""/>
      <w:lvlJc w:val="left"/>
      <w:pPr>
        <w:ind w:left="2520" w:hanging="360"/>
      </w:pPr>
      <w:rPr>
        <w:rFonts w:ascii="Wingdings" w:eastAsia="Wingdings" w:hAnsi="Wingdings" w:cs="Wingdings"/>
      </w:rPr>
    </w:lvl>
    <w:lvl w:ilvl="3">
      <w:start w:val="1"/>
      <w:numFmt w:val="bullet"/>
      <w:suff w:val="tab"/>
      <w:lvlText w:val=""/>
      <w:lvlJc w:val="left"/>
      <w:pPr>
        <w:ind w:left="3240" w:hanging="360"/>
      </w:pPr>
      <w:rPr>
        <w:rFonts w:ascii="Symbol" w:eastAsia="Symbol" w:hAnsi="Symbol" w:cs="Symbol"/>
      </w:rPr>
    </w:lvl>
    <w:lvl w:ilvl="4">
      <w:start w:val="1"/>
      <w:numFmt w:val="bullet"/>
      <w:suff w:val="tab"/>
      <w:lvlText w:val="o"/>
      <w:lvlJc w:val="left"/>
      <w:pPr>
        <w:ind w:left="3960" w:hanging="360"/>
      </w:pPr>
      <w:rPr>
        <w:rFonts w:ascii="Courier New" w:eastAsia="Courier New" w:hAnsi="Courier New" w:cs="Courier New"/>
      </w:rPr>
    </w:lvl>
    <w:lvl w:ilvl="5">
      <w:start w:val="1"/>
      <w:numFmt w:val="bullet"/>
      <w:suff w:val="tab"/>
      <w:lvlText w:val=""/>
      <w:lvlJc w:val="left"/>
      <w:pPr>
        <w:ind w:left="4680" w:hanging="360"/>
      </w:pPr>
      <w:rPr>
        <w:rFonts w:ascii="Wingdings" w:eastAsia="Wingdings" w:hAnsi="Wingdings" w:cs="Wingdings"/>
      </w:rPr>
    </w:lvl>
    <w:lvl w:ilvl="6">
      <w:start w:val="1"/>
      <w:numFmt w:val="bullet"/>
      <w:suff w:val="tab"/>
      <w:lvlText w:val=""/>
      <w:lvlJc w:val="left"/>
      <w:pPr>
        <w:ind w:left="5400" w:hanging="360"/>
      </w:pPr>
      <w:rPr>
        <w:rFonts w:ascii="Symbol" w:eastAsia="Symbol" w:hAnsi="Symbol" w:cs="Symbol"/>
      </w:rPr>
    </w:lvl>
    <w:lvl w:ilvl="7">
      <w:start w:val="1"/>
      <w:numFmt w:val="bullet"/>
      <w:suff w:val="tab"/>
      <w:lvlText w:val="o"/>
      <w:lvlJc w:val="left"/>
      <w:pPr>
        <w:ind w:left="6120" w:hanging="360"/>
      </w:pPr>
      <w:rPr>
        <w:rFonts w:ascii="Courier New" w:eastAsia="Courier New" w:hAnsi="Courier New" w:cs="Courier New"/>
      </w:rPr>
    </w:lvl>
    <w:lvl w:ilvl="8">
      <w:start w:val="1"/>
      <w:numFmt w:val="bullet"/>
      <w:suff w:val="tab"/>
      <w:lvlText w:val=""/>
      <w:lvlJc w:val="left"/>
      <w:pPr>
        <w:ind w:left="684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20"/>
  <w:bordersDoNotSurroundFooter/>
  <w:bordersDoNotSurroundHeader/>
  <w:doNotTrackMoves/>
  <w:documentProtection w:edit="trackedChanges" w:enforcement="0"/>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TableGrid"/>
    <w:qFormat/>
    <w:pPr>
      <w:keepNext/>
      <w:keepLines/>
      <w:spacing w:before="260" w:after="260" w:line="416" w:lineRule="auto"/>
      <w:outlineLvl w:val="2"/>
    </w:pPr>
    <w:rPr>
      <w:b/>
      <w:sz w:val="32"/>
    </w:rPr>
  </w:style>
  <w:style w:type="paragraph" w:styleId="Heading4">
    <w:name w:val="Heading 4"/>
    <w:basedOn w:val="Normal"/>
    <w:next w:val="Normal"/>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TableNormal">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qFormat/>
    <w:rPr>
      <w:rFonts w:ascii="Cambria" w:eastAsia="黑体" w:hAnsi="Cambria"/>
    </w:rPr>
  </w:style>
  <w:style w:type="paragraph" w:styleId="annotationtext">
    <w:name w:val="annotation text"/>
    <w:basedOn w:val="Normal"/>
    <w:uiPriority w:val="99"/>
    <w:unhideWhenUsed/>
    <w:qFormat/>
    <w:rPr/>
  </w:style>
  <w:style w:type="paragraph" w:styleId="BodyText3">
    <w:name w:val="Body Text 3"/>
    <w:basedOn w:val="Normal"/>
    <w:uiPriority w:val="99"/>
    <w:unhideWhenUsed/>
    <w:qFormat/>
    <w:pPr>
      <w:spacing w:after="120"/>
    </w:pPr>
    <w:rPr>
      <w:sz w:val="16"/>
      <w:szCs w:val="16"/>
    </w:rPr>
  </w:style>
  <w:style w:type="paragraph" w:styleId="BodyText">
    <w:name w:val="Body Text"/>
    <w:basedOn w:val="Normal"/>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qFormat/>
    <w:pPr>
      <w:widowControl w:val="0"/>
      <w:jc w:val="both"/>
    </w:pPr>
    <w:rPr>
      <w:rFonts w:ascii="宋体" w:hAnsi="Courier New"/>
      <w:kern w:val="2"/>
      <w:sz w:val="21"/>
    </w:rPr>
  </w:style>
  <w:style w:type="paragraph" w:styleId="Date">
    <w:name w:val="Date"/>
    <w:basedOn w:val="Normal"/>
    <w:next w:val="Normal"/>
    <w:uiPriority w:val="99"/>
    <w:semiHidden/>
    <w:unhideWhenUsed/>
    <w:qFormat/>
    <w:pPr>
      <w:ind w:left="100" w:leftChars="2500"/>
    </w:pPr>
    <w:rPr/>
  </w:style>
  <w:style w:type="paragraph" w:styleId="BalloonText">
    <w:name w:val="Balloon Text"/>
    <w:basedOn w:val="Normal"/>
    <w:uiPriority w:val="99"/>
    <w:semiHidden/>
    <w:unhideWhenUsed/>
    <w:qFormat/>
    <w:rPr>
      <w:sz w:val="18"/>
      <w:szCs w:val="18"/>
    </w:rPr>
  </w:style>
  <w:style w:type="paragraph" w:styleId="Footer">
    <w:name w:val="Footer"/>
    <w:basedOn w:val="Normal"/>
    <w:uiPriority w:val="99"/>
    <w:unhideWhenUsed/>
    <w:qFormat/>
    <w:pPr>
      <w:tabs>
        <w:tab w:val="center" w:pos="4153"/>
        <w:tab w:val="right" w:pos="8306"/>
      </w:tabs>
      <w:snapToGrid w:val="0"/>
    </w:pPr>
    <w:rPr>
      <w:sz w:val="18"/>
      <w:szCs w:val="18"/>
    </w:rPr>
  </w:style>
  <w:style w:type="paragraph" w:styleId="Header">
    <w:name w:val="Header"/>
    <w:basedOn w:val="Normal"/>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annotationsubject">
    <w:name w:val="annotation subject"/>
    <w:basedOn w:val="annotationtext"/>
    <w:uiPriority w:val="99"/>
    <w:semiHidden/>
    <w:unhideWhenUsed/>
    <w:qFormat/>
    <w:rPr>
      <w:b/>
      <w:bCs/>
    </w:rPr>
  </w:style>
  <w:style w:type="table" w:styleId="TableGrid">
    <w:name w:val="Table Grid"/>
    <w:basedOn w:val="TableNormal"/>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annotationreference">
    <w:name w:val="annotation reference"/>
    <w:basedOn w:val="DefaultParagraphFont"/>
    <w:uiPriority w:val="99"/>
    <w:semiHidden/>
    <w:unhideWhenUsed/>
    <w:qFormat/>
    <w:rPr>
      <w:sz w:val="21"/>
      <w:szCs w:val="21"/>
    </w:rPr>
  </w:style>
  <w:style w:type="character" w:customStyle="1" w:styleId="页眉字符">
    <w:name w:val="页眉 字符"/>
    <w:basedOn w:val="DefaultParagraphFont"/>
    <w:link w:val="annotationreference"/>
    <w:uiPriority w:val="99"/>
    <w:qFormat/>
    <w:rPr>
      <w:sz w:val="18"/>
      <w:szCs w:val="18"/>
    </w:rPr>
  </w:style>
  <w:style w:type="character" w:customStyle="1" w:styleId="页脚字符">
    <w:name w:val="页脚 字符"/>
    <w:basedOn w:val="DefaultParagraphFont"/>
    <w:link w:val="页眉字符"/>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qFormat/>
    <w:rPr>
      <w:rFonts w:ascii="宋体" w:eastAsia="宋体" w:hAnsi="Courier New" w:cs="Times New Roman"/>
      <w:szCs w:val="20"/>
    </w:rPr>
  </w:style>
  <w:style w:type="character" w:customStyle="1" w:styleId="正文文本字符">
    <w:name w:val="正文文本 字符"/>
    <w:basedOn w:val="DefaultParagraphFon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uiPriority w:val="1"/>
    <w:qFormat/>
    <w:rPr>
      <w:kern w:val="0"/>
      <w:sz w:val="22"/>
    </w:rPr>
  </w:style>
  <w:style w:type="character" w:customStyle="1" w:styleId="批注文字字符">
    <w:name w:val="批注文字 字符"/>
    <w:basedOn w:val="DefaultParagraphFon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标题3字符"/>
    <w:qFormat/>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5.jpeg" /><Relationship Id="rId11" Type="http://schemas.openxmlformats.org/officeDocument/2006/relationships/image" Target="media/image6.jpeg" /><Relationship Id="rId12" Type="http://schemas.openxmlformats.org/officeDocument/2006/relationships/image" Target="media/image7.png" /><Relationship Id="rId13" Type="http://schemas.openxmlformats.org/officeDocument/2006/relationships/image" Target="media/image8.jpeg" /><Relationship Id="rId14" Type="http://schemas.openxmlformats.org/officeDocument/2006/relationships/image" Target="media/image9.wmf" /><Relationship Id="rId15" Type="http://schemas.openxmlformats.org/officeDocument/2006/relationships/oleObject" Target="embeddings/oleObject1.bin" /><Relationship Id="rId16" Type="http://schemas.openxmlformats.org/officeDocument/2006/relationships/image" Target="media/image10.jpeg" /><Relationship Id="rId17" Type="http://schemas.openxmlformats.org/officeDocument/2006/relationships/image" Target="media/image11.jpeg" /><Relationship Id="rId18" Type="http://schemas.openxmlformats.org/officeDocument/2006/relationships/image" Target="media/image12.jpeg" /><Relationship Id="rId19" Type="http://schemas.openxmlformats.org/officeDocument/2006/relationships/image" Target="media/image13.jpeg" /><Relationship Id="rId2" Type="http://schemas.openxmlformats.org/officeDocument/2006/relationships/customXml" Target="../customXml/item2.xml" /><Relationship Id="rId20" Type="http://schemas.openxmlformats.org/officeDocument/2006/relationships/image" Target="media/image14.jpeg" /><Relationship Id="rId21" Type="http://schemas.openxmlformats.org/officeDocument/2006/relationships/image" Target="media/image15.jpeg" /><Relationship Id="rId22" Type="http://schemas.openxmlformats.org/officeDocument/2006/relationships/image" Target="media/image16.jpeg" /><Relationship Id="rId23" Type="http://schemas.openxmlformats.org/officeDocument/2006/relationships/image" Target="media/image17.jpeg" /><Relationship Id="rId24" Type="http://schemas.openxmlformats.org/officeDocument/2006/relationships/image" Target="media/image18.png" /><Relationship Id="rId25" Type="http://schemas.openxmlformats.org/officeDocument/2006/relationships/image" Target="media/image19.jpeg" /><Relationship Id="rId26" Type="http://schemas.openxmlformats.org/officeDocument/2006/relationships/image" Target="media/image20.jpeg" /><Relationship Id="rId27" Type="http://schemas.openxmlformats.org/officeDocument/2006/relationships/image" Target="media/image21.jpeg" /><Relationship Id="rId28" Type="http://schemas.openxmlformats.org/officeDocument/2006/relationships/footer" Target="footer2.xml" /><Relationship Id="rId29" Type="http://schemas.openxmlformats.org/officeDocument/2006/relationships/theme" Target="theme/theme1.xml" /><Relationship Id="rId3" Type="http://schemas.openxmlformats.org/officeDocument/2006/relationships/customXml" Target="../customXml/item3.xml" /><Relationship Id="rId30" Type="http://schemas.openxmlformats.org/officeDocument/2006/relationships/styles" Target="styles.xml" /><Relationship Id="rId31" Type="http://schemas.openxmlformats.org/officeDocument/2006/relationships/webSettings" Target="webSettings.xml" /><Relationship Id="rId32" Type="http://schemas.openxmlformats.org/officeDocument/2006/relationships/numbering" Target="numbering.xml" /><Relationship Id="rId33" Type="http://schemas.openxmlformats.org/officeDocument/2006/relationships/fontTable" Target="fontTable.xml" /><Relationship Id="rId34" Type="http://schemas.openxmlformats.org/officeDocument/2006/relationships/settings" Target="settings.xml" /><Relationship Id="rId4" Type="http://schemas.openxmlformats.org/officeDocument/2006/relationships/customXml" Target="../customXml/item4.xml" /><Relationship Id="rId5" Type="http://schemas.openxmlformats.org/officeDocument/2006/relationships/footer" Target="footer1.xml" /><Relationship Id="rId6" Type="http://schemas.openxmlformats.org/officeDocument/2006/relationships/image" Target="media/image1.jpeg" /><Relationship Id="rId7" Type="http://schemas.openxmlformats.org/officeDocument/2006/relationships/image" Target="media/image2.jpeg" /><Relationship Id="rId8" Type="http://schemas.openxmlformats.org/officeDocument/2006/relationships/image" Target="media/image3.jpeg" /><Relationship Id="rId9" Type="http://schemas.openxmlformats.org/officeDocument/2006/relationships/image" Target="media/image4.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_rels/item3.xml.rels>&#65279;<?xml version="1.0" encoding="utf-8"?><Relationships xmlns="http://schemas.openxmlformats.org/package/2006/relationships"><Relationship Id="rId1" Type="http://schemas.openxmlformats.org/officeDocument/2006/relationships/customXmlProps" Target="itemProps3.xml" /></Relationships>
</file>

<file path=customXml/_rels/item4.xml.rels>&#65279;<?xml version="1.0" encoding="utf-8"?><Relationships xmlns="http://schemas.openxmlformats.org/package/2006/relationships"><Relationship Id="rId1" Type="http://schemas.openxmlformats.org/officeDocument/2006/relationships/customXmlProps" Target="itemProps4.xml" /></Relationships>
</file>

<file path=customXml/item1.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2023-05-07T01:44:00Z</dcterms:created>
  <dc:creator>Microsoft</dc:creator>
  <cp:lastModifiedBy>拼</cp:lastModifiedBy>
  <cp:lastPrinted>2020-04-01T02:20:00Z</cp:lastPrinted>
  <dcterms:modified xsi:type="dcterms:W3CDTF">2025-02-08T00:33:19Z</dcterms:modified>
</cp:coreProperties>
</file>

<file path=customXml/item2.xml><?xml version="1.0" encoding="utf-8"?>
<Properties xmlns="http://schemas.openxmlformats.org/officeDocument/2006/extended-properties" xmlns:vt="http://schemas.openxmlformats.org/officeDocument/2006/docPropsVTypes">
  <Company>Www.RePaiK.Com</Company>
  <Pages>34</Pages>
  <Words>9142</Words>
  <Characters>11068</Characters>
  <Lines>158</Lines>
  <Paragraphs>44</Paragraphs>
  <TotalTime>0</TotalTime>
  <ScaleCrop>false</ScaleCrop>
  <LinksUpToDate>false</LinksUpToDate>
  <CharactersWithSpaces>11460</CharactersWithSpaces>
  <Application>WPS Office_12.1.0.19770_F1E327BC-269C-435d-A152-05C5408002CA</Application>
  <DocSecurity>0</DocSecurity>
</Properties>
</file>

<file path=customXml/item3.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0681153265704AF2A3DC189A351F6915</vt:lpwstr>
  </property>
  <property fmtid="{D5CDD505-2E9C-101B-9397-08002B2CF9AE}" pid="4" name="KSOTemplateDocerSaveRecord">
    <vt:lpwstr>eyJoZGlkIjoiNDAwMjZjNWRhNmM4MmY4NmVmNGM4YTIxMWJkNDdhZGYiLCJ1c2VySWQiOiIxMjAyMzMxODQ5In0=</vt:lpwstr>
  </property>
</Properties>
</file>

<file path=customXml/item4.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
  <ds:schemaRefs/>
</ds:datastoreItem>
</file>

<file path=customXml/itemProps3.xml><?xml version="1.0" encoding="utf-8"?>
<ds:datastoreItem xmlns:ds="http://schemas.openxmlformats.org/officeDocument/2006/customXml" ds:itemID="">
  <ds:schemaRefs/>
</ds:datastoreItem>
</file>

<file path=customXml/itemProps4.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0</TotalTime>
  <Pages>34</Pages>
  <Words>9142</Words>
  <Characters>11068</Characters>
  <Application>WPS Office_12.1.0.19770_F1E327BC-269C-435d-A152-05C5408002CA</Application>
  <DocSecurity>0</DocSecurity>
  <Lines>158</Lines>
  <Paragraphs>44</Paragraphs>
  <Company>Www.RePaiK.Com</Company>
  <CharactersWithSpaces>11460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拼</cp:lastModifiedBy>
  <cp:revision>1</cp:revision>
  <cp:lastPrinted>2020-04-01T02:20:00Z</cp:lastPrinted>
  <dcterms:created xsi:type="dcterms:W3CDTF">2023-05-07T01:44:00Z</dcterms:created>
  <dcterms:modified xsi:type="dcterms:W3CDTF">2025-02-08T00:33:19Z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2052-12.1.0.19770</vt:lpstr>
  </property>
  <property fmtid="{D5CDD505-2E9C-101B-9397-08002B2CF9AE}" pid="3" name="ICV">
    <vt:lpstr>0681153265704AF2A3DC189A351F6915</vt:lpstr>
  </property>
  <property fmtid="{D5CDD505-2E9C-101B-9397-08002B2CF9AE}" pid="4" name="KSOTemplateDocerSaveRecord">
    <vt:lpstr>eyJoZGlkIjoiNDAwMjZjNWRhNmM4MmY4NmVmNGM4YTIxMWJkNDdhZGYiLCJ1c2VySWQiOiIxMjAyMzMxODQ5In0_x003D_</vt:lpstr>
  </property>
</Properties>
</file>