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苏吴地评税字(2025)吴江第00159号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正大家园普通多层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估价对象位于苏州市吴江区区域范围内的正大家园住宅小区普通多层存量房。该小区内的物业类型包括：</w:t>
      </w:r>
      <w:r>
        <w:rPr>
          <w:rFonts w:ascii="宋体"/>
          <w:sz w:val="24"/>
        </w:rPr>
        <w:t xml:space="preserve">普通多层、独栋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月修订版），结合估价人员现场查勘，选取正大家园</w:t>
      </w:r>
      <w:r>
        <w:rPr>
          <w:rFonts w:ascii="宋体"/>
          <w:sz w:val="24"/>
        </w:rPr>
        <w:t xml:space="preserve">3幢102室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119.61</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捌仟零伍拾陆元整</w:t>
      </w:r>
      <w:r>
        <w:rPr>
          <w:rFonts w:hint="eastAsia" w:ascii="宋体" w:hAnsi="宋体"/>
          <w:b/>
          <w:bCs/>
          <w:sz w:val="24"/>
        </w:rPr>
        <w:t xml:space="preserve">（RMB</w:t>
      </w:r>
      <w:r>
        <w:rPr>
          <w:rFonts w:ascii="宋体" w:hAnsi="宋体"/>
          <w:b/>
          <w:bCs/>
          <w:sz w:val="24"/>
        </w:rPr>
        <w:t xml:space="preserve"> 8056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5.本报告作为整体使用时有效。若房地产市场无重大波动，本估价报告自出具日起一年内有效，从2025年02月28日至</w:t>
      </w:r>
      <w:r>
        <w:rPr>
          <w:rFonts w:ascii="宋体" w:hAnsi="宋体"/>
          <w:sz w:val="24"/>
        </w:rPr>
        <w:t xml:space="preserve">2026年02月27日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估价对象为正大家园</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的“正大家园”住宅区内。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中山北路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工农路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木浪路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木浪小区</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119.61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的“正大家园”住宅区内。该小区内的物业类型包括：</w:t>
      </w:r>
      <w:r>
        <w:rPr>
          <w:rFonts w:hAnsi="宋体"/>
          <w:sz w:val="24"/>
        </w:rPr>
        <w:t xml:space="preserve">普通多层、独栋</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正大家园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“正大家园”小区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由于正大家园市场交易不活跃，片区内可选案例较少，因此选择的案例A，B，C，D，距离在3公里以外。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正大家园住宅2025年2月挂牌均价11370元/平方米，较年初持平。待评估二手房住宅近12个月（2024年03月-2025年02月）挂牌均价波动幅度较小，价格维持在11370-13608元/平方米之间。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均价说明：正大家园小区物业类型包括：普通多层、独栋,房源均价为:11370元/平方米，包含毛坯价值以及附带装修价值。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该房屋为6层住宅楼的第1层，建于2003年，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119.61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捌仟零伍拾陆元整</w:t>
      </w:r>
      <w:r>
        <w:rPr>
          <w:rFonts w:hint="eastAsia" w:ascii="宋体" w:hAnsi="宋体"/>
          <w:b/>
          <w:bCs/>
          <w:sz w:val="24"/>
        </w:rPr>
        <w:t xml:space="preserve">（RMB </w:t>
      </w:r>
      <w:r>
        <w:rPr>
          <w:rFonts w:ascii="宋体" w:hAnsi="宋体"/>
          <w:b/>
          <w:bCs/>
          <w:sz w:val="24"/>
        </w:rPr>
        <w:t xml:space="preserve">8056</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96.36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8056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2025年02月06日</w:t>
      </w:r>
      <w:r>
        <w:rPr>
          <w:rFonts w:hint="eastAsia" w:ascii="宋体"/>
          <w:sz w:val="24"/>
        </w:rPr>
        <w:t xml:space="preserve">至2025年02月28日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估价对象为苏州市吴江区“正大家园”住宅区内的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位于木浪路东侧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木浪路东侧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附近有701路、705路、709路、712路、733路等多条公交线路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 </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新城北农贸市场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北门幼儿园</w:t>
      </w:r>
      <w:r>
        <w:rPr>
          <w:rFonts w:hint="eastAsia" w:ascii="宋体" w:hAnsi="宋体" w:eastAsia="宋体" w:asciiTheme="minorEastAsia" w:hAnsiTheme="minorEastAsia" w:eastAsiaTheme="minorEastAsia"/>
          <w:sz w:val="24"/>
        </w:rPr>
        <w:t xml:space="preserve">、</w:t>
      </w:r>
      <w:r>
        <w:rPr>
          <w:rFonts w:hAnsi="宋体"/>
          <w:sz w:val="24"/>
        </w:rPr>
        <w:t xml:space="preserve">北门小学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中山北路</w:t>
      </w:r>
      <w:r>
        <w:rPr>
          <w:rFonts w:hint="eastAsia" w:ascii="宋体" w:hAnsi="宋体"/>
          <w:sz w:val="24"/>
        </w:rPr>
        <w:t xml:space="preserve">，南至</w:t>
      </w:r>
      <w:r>
        <w:rPr>
          <w:rFonts w:ascii="宋体" w:hAnsi="宋体"/>
          <w:sz w:val="24"/>
        </w:rPr>
        <w:t xml:space="preserve">工农路</w:t>
      </w:r>
      <w:r>
        <w:rPr>
          <w:rFonts w:hint="eastAsia" w:ascii="宋体" w:hAnsi="宋体"/>
          <w:sz w:val="24"/>
        </w:rPr>
        <w:t xml:space="preserve">，西至</w:t>
      </w:r>
      <w:r>
        <w:rPr>
          <w:rFonts w:ascii="宋体" w:hAnsi="宋体"/>
          <w:sz w:val="24"/>
        </w:rPr>
        <w:t xml:space="preserve">木浪路</w:t>
      </w:r>
      <w:r>
        <w:rPr>
          <w:rFonts w:hint="eastAsia" w:ascii="宋体" w:hAnsi="宋体"/>
          <w:sz w:val="24"/>
        </w:rPr>
        <w:t xml:space="preserve">，北至</w:t>
      </w:r>
      <w:r>
        <w:rPr>
          <w:rFonts w:ascii="宋体" w:hAnsi="宋体"/>
          <w:sz w:val="24"/>
        </w:rPr>
        <w:t xml:space="preserve">木浪小区</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估价对象为坐落于苏州市吴江区正大家园</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119.61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估价对象建成于2003年，基础较为稳固，未见沉降；墙面、地面、门窗等保养完好，综合保养成新度为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正大家园住宅2025年2月挂牌均价11370元/平方米，较年初持平。待评估二手房住宅近12个月（2024年03月-2025年02月）挂牌均价波动幅度较小，价格维持在11370-13608元/平方米之间。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苏州市吴江区正大家园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s202403280064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s202404090066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F32050920240024748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F32050920240021960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吴江区松陵镇正大家园3幢102室普通多层住宅标准房基准价格评估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汾湖新村3幢303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滨江名苑15幢506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明丰花园13幢106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世纪花园1幢601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55.6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150.69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78.55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92.84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8284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9048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2025年01月06日</w:t>
            </w:r>
          </w:p>
        </w:tc>
        <w:tc>
          <w:tcPr>
            <w:tcW w:w="778"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8827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8912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0.9656</w:t>
            </w:r>
          </w:p>
        </w:tc>
        <w:tc>
          <w:tcPr>
            <w:tcW w:w="779"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0.9656</w:t>
            </w:r>
          </w:p>
        </w:tc>
        <w:tc>
          <w:tcPr>
            <w:tcW w:w="779" w:type="pct"/>
            <w:shd w:val="clear" w:color="auto" w:fill="FFFFFF"/>
            <w:vAlign w:val="center"/>
          </w:tcPr>
          <w:p>
            <w:pPr>
              <w:jc w:val="center"/>
            </w:pPr>
            <w:r>
              <w:rPr>
                <w:rFonts w:hint="eastAsia" w:ascii="宋体" w:hAnsi="宋体" w:cs="宋体"/>
              </w:rPr>
              <w:t xml:space="preserve">0.9656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备注：在价值时点2025年02月06日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1341367161"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吴江区松陵镇正大家园3幢102室普通多层住宅标准房基准价格评估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汾湖新村3幢303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滨江名苑15幢506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明丰花园13幢106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世纪花园1幢601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150.69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78.55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0.8535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9048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8524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8284</w:t>
            </w:r>
          </w:p>
        </w:tc>
        <w:tc>
          <w:tcPr>
            <w:tcW w:w="922" w:type="pct"/>
            <w:shd w:val="clear" w:color="auto" w:fill="auto"/>
            <w:vAlign w:val="center"/>
          </w:tcPr>
          <w:p>
            <w:pPr>
              <w:jc w:val="center"/>
              <w:rPr>
                <w:rFonts w:ascii="宋体" w:hAnsi="宋体" w:cs="宋体"/>
              </w:rPr>
            </w:pPr>
            <w:r>
              <w:rPr>
                <w:rFonts w:hint="eastAsia" w:ascii="宋体" w:hAnsi="宋体" w:cs="宋体"/>
              </w:rPr>
              <w:t xml:space="preserve">8827</w:t>
            </w:r>
          </w:p>
        </w:tc>
        <w:tc>
          <w:tcPr>
            <w:tcW w:w="922" w:type="pct"/>
            <w:shd w:val="clear" w:color="auto" w:fill="auto"/>
            <w:vAlign w:val="center"/>
          </w:tcPr>
          <w:p>
            <w:pPr>
              <w:jc w:val="center"/>
              <w:rPr>
                <w:rFonts w:ascii="宋体" w:hAnsi="宋体" w:cs="宋体"/>
              </w:rPr>
            </w:pPr>
            <w:r>
              <w:rPr>
                <w:rFonts w:hint="eastAsia" w:ascii="宋体" w:hAnsi="宋体" w:cs="宋体"/>
              </w:rPr>
              <w:t xml:space="preserve">8912</w:t>
            </w:r>
          </w:p>
        </w:tc>
        <w:tc>
          <w:tcPr>
            <w:tcW w:w="922" w:type="pct"/>
            <w:shd w:val="clear" w:color="auto" w:fill="auto"/>
            <w:vAlign w:val="center"/>
          </w:tcPr>
          <w:p>
            <w:pPr>
              <w:jc w:val="center"/>
              <w:rPr>
                <w:rFonts w:ascii="宋体" w:hAnsi="宋体" w:cs="宋体"/>
              </w:rPr>
            </w:pPr>
            <w:r>
              <w:rPr>
                <w:rFonts w:hint="eastAsia" w:ascii="宋体" w:hAnsi="宋体" w:cs="宋体"/>
              </w:rPr>
              <w:t xml:space="preserve">9048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0.9656</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101/113.49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0.9851</w:t>
            </w:r>
          </w:p>
        </w:tc>
        <w:tc>
          <w:tcPr>
            <w:tcW w:w="922" w:type="pct"/>
            <w:shd w:val="clear" w:color="auto" w:fill="auto"/>
            <w:vAlign w:val="center"/>
          </w:tcPr>
          <w:p>
            <w:pPr>
              <w:jc w:val="center"/>
              <w:rPr>
                <w:rFonts w:ascii="宋体" w:hAnsi="宋体" w:cs="宋体"/>
              </w:rPr>
            </w:pPr>
            <w:r>
              <w:rPr>
                <w:rFonts w:hint="eastAsia" w:ascii="宋体" w:hAnsi="宋体" w:cs="宋体"/>
              </w:rPr>
              <w:t xml:space="preserve">0.8535</w:t>
            </w:r>
          </w:p>
        </w:tc>
        <w:tc>
          <w:tcPr>
            <w:tcW w:w="922" w:type="pct"/>
            <w:shd w:val="clear" w:color="auto" w:fill="auto"/>
            <w:vAlign w:val="center"/>
          </w:tcPr>
          <w:p>
            <w:pPr>
              <w:jc w:val="center"/>
              <w:rPr>
                <w:rFonts w:ascii="宋体" w:hAnsi="宋体" w:cs="宋体"/>
              </w:rPr>
            </w:pPr>
            <w:r>
              <w:rPr>
                <w:rFonts w:hint="eastAsia" w:ascii="宋体" w:hAnsi="宋体" w:cs="宋体"/>
              </w:rPr>
              <w:t xml:space="preserve">0.8985</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8161</w:t>
            </w:r>
          </w:p>
        </w:tc>
        <w:tc>
          <w:tcPr>
            <w:tcW w:w="922" w:type="pct"/>
            <w:shd w:val="clear" w:color="auto" w:fill="auto"/>
            <w:vAlign w:val="center"/>
          </w:tcPr>
          <w:p>
            <w:pPr>
              <w:jc w:val="center"/>
              <w:rPr>
                <w:rFonts w:ascii="宋体" w:hAnsi="宋体" w:cs="宋体"/>
              </w:rPr>
            </w:pPr>
            <w:r>
              <w:rPr>
                <w:rFonts w:hint="eastAsia" w:ascii="宋体" w:hAnsi="宋体" w:cs="宋体"/>
              </w:rPr>
              <w:t xml:space="preserve">7534</w:t>
            </w:r>
          </w:p>
        </w:tc>
        <w:tc>
          <w:tcPr>
            <w:tcW w:w="922" w:type="pct"/>
            <w:shd w:val="clear" w:color="auto" w:fill="auto"/>
            <w:vAlign w:val="center"/>
          </w:tcPr>
          <w:p>
            <w:pPr>
              <w:jc w:val="center"/>
              <w:rPr>
                <w:rFonts w:ascii="宋体" w:hAnsi="宋体" w:cs="宋体"/>
              </w:rPr>
            </w:pPr>
            <w:r>
              <w:rPr>
                <w:rFonts w:hint="eastAsia" w:ascii="宋体" w:hAnsi="宋体" w:cs="宋体"/>
              </w:rPr>
              <w:t xml:space="preserve">8007</w:t>
            </w:r>
          </w:p>
        </w:tc>
        <w:tc>
          <w:tcPr>
            <w:tcW w:w="922" w:type="pct"/>
            <w:shd w:val="clear" w:color="auto" w:fill="auto"/>
            <w:vAlign w:val="center"/>
          </w:tcPr>
          <w:p>
            <w:pPr>
              <w:jc w:val="center"/>
              <w:rPr>
                <w:rFonts w:ascii="宋体" w:hAnsi="宋体" w:cs="宋体"/>
              </w:rPr>
            </w:pPr>
            <w:r>
              <w:rPr>
                <w:rFonts w:hint="eastAsia" w:ascii="宋体" w:hAnsi="宋体" w:cs="宋体"/>
              </w:rPr>
              <w:t xml:space="preserve">8524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8161</w:t>
            </w:r>
          </w:p>
        </w:tc>
        <w:tc>
          <w:tcPr>
            <w:tcW w:w="922" w:type="pct"/>
            <w:shd w:val="clear" w:color="auto" w:fill="auto"/>
            <w:vAlign w:val="center"/>
          </w:tcPr>
          <w:p>
            <w:pPr>
              <w:jc w:val="center"/>
              <w:rPr>
                <w:rFonts w:ascii="宋体" w:hAnsi="宋体" w:cs="宋体"/>
              </w:rPr>
            </w:pPr>
            <w:r>
              <w:rPr>
                <w:rFonts w:hint="eastAsia" w:ascii="宋体" w:hAnsi="宋体" w:cs="宋体"/>
              </w:rPr>
              <w:t xml:space="preserve">7534</w:t>
            </w:r>
          </w:p>
        </w:tc>
        <w:tc>
          <w:tcPr>
            <w:tcW w:w="922" w:type="pct"/>
            <w:shd w:val="clear" w:color="auto" w:fill="auto"/>
            <w:vAlign w:val="center"/>
          </w:tcPr>
          <w:p>
            <w:pPr>
              <w:jc w:val="center"/>
              <w:rPr>
                <w:rFonts w:ascii="宋体" w:hAnsi="宋体" w:cs="宋体"/>
              </w:rPr>
            </w:pPr>
            <w:r>
              <w:rPr>
                <w:rFonts w:hint="eastAsia" w:ascii="宋体" w:hAnsi="宋体" w:cs="宋体"/>
              </w:rPr>
              <w:t xml:space="preserve">8007</w:t>
            </w:r>
          </w:p>
        </w:tc>
        <w:tc>
          <w:tcPr>
            <w:tcW w:w="922" w:type="pct"/>
            <w:shd w:val="clear" w:color="auto" w:fill="auto"/>
            <w:vAlign w:val="center"/>
          </w:tcPr>
          <w:p>
            <w:pPr>
              <w:jc w:val="center"/>
              <w:rPr>
                <w:rFonts w:ascii="宋体" w:hAnsi="宋体" w:cs="宋体"/>
              </w:rPr>
            </w:pPr>
            <w:r>
              <w:rPr>
                <w:rFonts w:hint="eastAsia" w:ascii="宋体" w:hAnsi="宋体" w:cs="宋体"/>
              </w:rPr>
              <w:t xml:space="preserve">8524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8056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s202403280064</w:t>
            </w:r>
          </w:p>
        </w:tc>
        <w:tc>
          <w:tcPr>
            <w:tcW w:w="1842" w:type="dxa"/>
            <w:vAlign w:val="center"/>
          </w:tcPr>
          <w:p>
            <w:pPr>
              <w:jc w:val="center"/>
            </w:pPr>
            <w:r>
              <w:rPr>
                <w:rFonts w:hint="eastAsia" w:ascii="宋体" w:hAnsi="宋体" w:cs="宋体"/>
              </w:rPr>
              <w:t xml:space="preserve">s202404090066</w:t>
            </w:r>
          </w:p>
        </w:tc>
        <w:tc>
          <w:tcPr>
            <w:tcW w:w="1843" w:type="dxa"/>
            <w:vAlign w:val="center"/>
          </w:tcPr>
          <w:p>
            <w:pPr>
              <w:jc w:val="center"/>
            </w:pPr>
            <w:r>
              <w:rPr>
                <w:rFonts w:hint="eastAsia" w:ascii="宋体" w:hAnsi="宋体" w:cs="宋体"/>
              </w:rPr>
              <w:t xml:space="preserve">F32050920240024748</w:t>
            </w:r>
          </w:p>
        </w:tc>
        <w:tc>
          <w:tcPr>
            <w:tcW w:w="1985" w:type="dxa"/>
            <w:vAlign w:val="center"/>
          </w:tcPr>
          <w:p>
            <w:pPr>
              <w:jc w:val="center"/>
            </w:pPr>
            <w:r>
              <w:rPr>
                <w:rFonts w:hint="eastAsia" w:ascii="宋体" w:hAnsi="宋体" w:cs="宋体"/>
              </w:rPr>
              <w:t xml:space="preserve">F32050920240021960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汾湖新村3幢303</w:t>
            </w:r>
          </w:p>
        </w:tc>
        <w:tc>
          <w:tcPr>
            <w:tcW w:w="1842" w:type="dxa"/>
            <w:vAlign w:val="center"/>
          </w:tcPr>
          <w:p>
            <w:pPr>
              <w:jc w:val="center"/>
            </w:pPr>
            <w:r>
              <w:rPr>
                <w:rFonts w:hint="eastAsia" w:ascii="宋体" w:hAnsi="宋体" w:cs="宋体"/>
              </w:rPr>
              <w:t xml:space="preserve">滨江名苑15幢506</w:t>
            </w:r>
          </w:p>
        </w:tc>
        <w:tc>
          <w:tcPr>
            <w:tcW w:w="1843" w:type="dxa"/>
            <w:vAlign w:val="center"/>
          </w:tcPr>
          <w:p>
            <w:pPr>
              <w:jc w:val="center"/>
            </w:pPr>
            <w:r>
              <w:rPr>
                <w:rFonts w:hint="eastAsia" w:ascii="宋体" w:hAnsi="宋体" w:cs="宋体"/>
              </w:rPr>
              <w:t xml:space="preserve">明丰花园13幢106</w:t>
            </w:r>
          </w:p>
        </w:tc>
        <w:tc>
          <w:tcPr>
            <w:tcW w:w="1985" w:type="dxa"/>
            <w:vAlign w:val="center"/>
          </w:tcPr>
          <w:p>
            <w:pPr>
              <w:jc w:val="center"/>
            </w:pPr>
            <w:r>
              <w:rPr>
                <w:rFonts w:hint="eastAsia" w:ascii="宋体" w:hAnsi="宋体" w:cs="宋体"/>
              </w:rPr>
              <w:t xml:space="preserve">世纪花园1幢601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汾湖新村3幢303</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滨江名苑15幢506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明丰花园13幢106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世纪花园1幢601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pn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