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苏吴地评税字(2025)吴江第00320号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吴越尚院普通多层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2025年02月28日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估价对象位于苏州市吴江区区域范围内的吴越尚院住宅小区普通多层存量房。该小区内的物业类型包括：</w:t>
      </w:r>
      <w:r>
        <w:rPr>
          <w:rFonts w:ascii="宋体"/>
          <w:sz w:val="24"/>
        </w:rPr>
        <w:t xml:space="preserve">普通多层、电梯多层、小高层、高层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月修订版），结合估价人员现场查勘，选取吴越尚院</w:t>
      </w:r>
      <w:r>
        <w:rPr>
          <w:rFonts w:ascii="宋体"/>
          <w:sz w:val="24"/>
        </w:rPr>
        <w:t xml:space="preserve">3幢102室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85.31</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2010</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2076年10月24日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2025年02月18日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2025年02月18日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玖仟捌佰零叁元整</w:t>
      </w:r>
      <w:r>
        <w:rPr>
          <w:rFonts w:hint="eastAsia" w:ascii="宋体" w:hAnsi="宋体"/>
          <w:b/>
          <w:bCs/>
          <w:sz w:val="24"/>
        </w:rPr>
        <w:t xml:space="preserve">（RMB</w:t>
      </w:r>
      <w:r>
        <w:rPr>
          <w:rFonts w:ascii="宋体" w:hAnsi="宋体"/>
          <w:b/>
          <w:bCs/>
          <w:sz w:val="24"/>
        </w:rPr>
        <w:t xml:space="preserve"> 9803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2025年02月28日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2025年02月28日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2025年02月28日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5.本报告作为整体使用时有效。若房地产市场无重大波动，本估价报告自出具日起一年内有效，从2025年02月28日至</w:t>
      </w:r>
      <w:r>
        <w:rPr>
          <w:rFonts w:ascii="宋体" w:hAnsi="宋体"/>
          <w:sz w:val="24"/>
        </w:rPr>
        <w:t xml:space="preserve">2026年02月27日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估价对象为吴越尚院</w:t>
      </w:r>
      <w:r>
        <w:rPr>
          <w:rFonts w:ascii="宋体" w:hAnsi="宋体"/>
          <w:sz w:val="24"/>
        </w:rPr>
        <w:t xml:space="preserve">3幢102室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梅石路西侧</w:t>
      </w:r>
      <w:r>
        <w:rPr>
          <w:rFonts w:hint="eastAsia" w:hAnsi="宋体"/>
          <w:sz w:val="24"/>
        </w:rPr>
        <w:t xml:space="preserve">的“吴越尚院”住宅区内。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梅石路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江兴西路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河道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河道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85.31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梅石路西侧</w:t>
      </w:r>
      <w:r>
        <w:rPr>
          <w:rFonts w:hint="eastAsia" w:hAnsi="宋体"/>
          <w:sz w:val="24"/>
        </w:rPr>
        <w:t xml:space="preserve">的“吴越尚院”住宅区内。该小区内的物业类型包括：</w:t>
      </w:r>
      <w:r>
        <w:rPr>
          <w:rFonts w:hAnsi="宋体"/>
          <w:sz w:val="24"/>
        </w:rPr>
        <w:t xml:space="preserve">普通多层、电梯多层、小高层、高层</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吴越尚院</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“吴越尚院”小区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由于吴越尚院市场交易不活跃，片区内可选案例较少，因此选择的案例A，B，C，D，距离在3公里以外。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吴越尚院住宅2025年2月挂牌均价17453元/平方米，较年初持平。待评估二手房住宅近9个月（2024年06月-2025年02月）挂牌均价波动幅度较小，价格维持在17453-18474元/平方米之间。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均价说明：吴越尚院小区物业类型包括：普通多层、电梯多层、小高层、高层,房源均价为:17453元/平方米，包含毛坯价值以及附带装修价值。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该房屋为6层住宅楼的第1层，建于2010年，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85.31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2076年10月24日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2025年02月18日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玖仟捌佰零叁元整</w:t>
      </w:r>
      <w:r>
        <w:rPr>
          <w:rFonts w:hint="eastAsia" w:ascii="宋体" w:hAnsi="宋体"/>
          <w:b/>
          <w:bCs/>
          <w:sz w:val="24"/>
        </w:rPr>
        <w:t xml:space="preserve">（RMB </w:t>
      </w:r>
      <w:r>
        <w:rPr>
          <w:rFonts w:ascii="宋体" w:hAnsi="宋体"/>
          <w:b/>
          <w:bCs/>
          <w:sz w:val="24"/>
        </w:rPr>
        <w:t xml:space="preserve">9803</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83.63</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9803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2025年02月28日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本次实地查勘期为2025年02月18日，并于当日完成现场查勘。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2025年02月18日</w:t>
      </w:r>
      <w:r>
        <w:rPr>
          <w:rFonts w:hint="eastAsia" w:ascii="宋体"/>
          <w:sz w:val="24"/>
        </w:rPr>
        <w:t xml:space="preserve">至2025年02月28日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估价对象为苏州市吴江区“吴越尚院”住宅区内的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位于江兴西路北侧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江兴西路北侧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附近有731路等多条公交线路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锦怡超市(江兴路)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中国民生银行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江兴蔬菜批发市场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鲈乡幼儿园(越秀分园)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鲈乡实验小学(越秀校区)</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2076年10月24日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梅石路</w:t>
      </w:r>
      <w:r>
        <w:rPr>
          <w:rFonts w:hint="eastAsia" w:ascii="宋体" w:hAnsi="宋体"/>
          <w:sz w:val="24"/>
        </w:rPr>
        <w:t xml:space="preserve">，南至</w:t>
      </w:r>
      <w:r>
        <w:rPr>
          <w:rFonts w:ascii="宋体" w:hAnsi="宋体"/>
          <w:sz w:val="24"/>
        </w:rPr>
        <w:t xml:space="preserve">江兴西路</w:t>
      </w:r>
      <w:r>
        <w:rPr>
          <w:rFonts w:hint="eastAsia" w:ascii="宋体" w:hAnsi="宋体"/>
          <w:sz w:val="24"/>
        </w:rPr>
        <w:t xml:space="preserve">，西至</w:t>
      </w:r>
      <w:r>
        <w:rPr>
          <w:rFonts w:ascii="宋体" w:hAnsi="宋体"/>
          <w:sz w:val="24"/>
        </w:rPr>
        <w:t xml:space="preserve">河道</w:t>
      </w:r>
      <w:r>
        <w:rPr>
          <w:rFonts w:hint="eastAsia" w:ascii="宋体" w:hAnsi="宋体"/>
          <w:sz w:val="24"/>
        </w:rPr>
        <w:t xml:space="preserve">，北至</w:t>
      </w:r>
      <w:r>
        <w:rPr>
          <w:rFonts w:ascii="宋体" w:hAnsi="宋体"/>
          <w:sz w:val="24"/>
        </w:rPr>
        <w:t xml:space="preserve">河道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估价对象为坐落于苏州市吴江区吴越尚院</w:t>
      </w:r>
      <w:r>
        <w:t xml:space="preserve"> </w:t>
      </w:r>
      <w:r>
        <w:rPr>
          <w:rFonts w:ascii="宋体" w:hAnsi="宋体"/>
          <w:kern w:val="2"/>
          <w:sz w:val="24"/>
        </w:rPr>
        <w:t xml:space="preserve">3幢102室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85.31</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估价对象建成于2010年，基础较为稳固，未见沉降；墙面、地面、门窗等保养完好，综合保养成新度为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TableNormal"/>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吴越尚院住宅2025年2月挂牌均价17453元/平方米，较年初持平。待评估二手房住宅近9个月（2024年06月-2025年02月）挂牌均价波动幅度较小，价格维持在17453-18474元/平方米之间。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苏州市吴江区吴越尚院</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F32050920240044985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F32050920240030445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s202408260004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s202410080036</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吴江区吴江经济开发区吴越尚院3幢102室普通多层住宅标准房基准价格评估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众盛阳光嘉园38幢502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众盛阳光嘉园67幢403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锦泰花园23幢204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锦祥花园46幢606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85.31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89.53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131.36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88.45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2025年02月18日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2024年10月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2024年06月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2024年10月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9829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11026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9896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9891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指数，吴江区2024年02月至2025年01月住宅月度价格指数表为：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1881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2025年01月18日</w:t>
            </w:r>
          </w:p>
        </w:tc>
        <w:tc>
          <w:tcPr>
            <w:tcW w:w="778" w:type="pct"/>
            <w:shd w:val="clear" w:color="auto" w:fill="FFFFFF"/>
            <w:vAlign w:val="center"/>
          </w:tcPr>
          <w:p>
            <w:pPr>
              <w:jc w:val="center"/>
            </w:pPr>
            <w:r>
              <w:rPr>
                <w:rFonts w:hint="eastAsia" w:ascii="宋体" w:hAnsi="宋体" w:cs="宋体"/>
              </w:rPr>
              <w:t xml:space="preserve">2024年10月</w:t>
            </w:r>
          </w:p>
        </w:tc>
        <w:tc>
          <w:tcPr>
            <w:tcW w:w="779" w:type="pct"/>
            <w:shd w:val="clear" w:color="auto" w:fill="FFFFFF"/>
            <w:vAlign w:val="center"/>
          </w:tcPr>
          <w:p>
            <w:pPr>
              <w:jc w:val="center"/>
            </w:pPr>
            <w:r>
              <w:rPr>
                <w:rFonts w:hint="eastAsia" w:ascii="宋体" w:hAnsi="宋体" w:cs="宋体"/>
              </w:rPr>
              <w:t xml:space="preserve">2024年06月</w:t>
            </w:r>
          </w:p>
        </w:tc>
        <w:tc>
          <w:tcPr>
            <w:tcW w:w="779" w:type="pct"/>
            <w:shd w:val="clear" w:color="auto" w:fill="FFFFFF"/>
            <w:vAlign w:val="center"/>
          </w:tcPr>
          <w:p>
            <w:pPr>
              <w:jc w:val="center"/>
            </w:pPr>
            <w:r>
              <w:rPr>
                <w:rFonts w:hint="eastAsia" w:ascii="宋体" w:hAnsi="宋体" w:cs="宋体"/>
              </w:rPr>
              <w:t xml:space="preserve">2024年08月</w:t>
            </w:r>
          </w:p>
        </w:tc>
        <w:tc>
          <w:tcPr>
            <w:tcW w:w="779" w:type="pct"/>
            <w:shd w:val="clear" w:color="auto" w:fill="FFFFFF"/>
            <w:vAlign w:val="center"/>
          </w:tcPr>
          <w:p>
            <w:pPr>
              <w:jc w:val="center"/>
            </w:pPr>
            <w:r>
              <w:rPr>
                <w:rFonts w:hint="eastAsia" w:ascii="宋体" w:hAnsi="宋体" w:cs="宋体"/>
              </w:rPr>
              <w:t xml:space="preserve">2024年10月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9829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11026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9896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9891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1881</w:t>
            </w:r>
          </w:p>
        </w:tc>
        <w:tc>
          <w:tcPr>
            <w:tcW w:w="778" w:type="pct"/>
            <w:shd w:val="clear" w:color="auto" w:fill="FFFFFF"/>
            <w:vAlign w:val="center"/>
          </w:tcPr>
          <w:p>
            <w:pPr>
              <w:jc w:val="center"/>
            </w:pPr>
            <w:r>
              <w:rPr>
                <w:rFonts w:hint="eastAsia" w:ascii="宋体" w:hAnsi="宋体" w:cs="宋体"/>
              </w:rPr>
              <w:t xml:space="preserve">1919</w:t>
            </w:r>
          </w:p>
        </w:tc>
        <w:tc>
          <w:tcPr>
            <w:tcW w:w="779"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1913</w:t>
            </w:r>
          </w:p>
        </w:tc>
        <w:tc>
          <w:tcPr>
            <w:tcW w:w="779" w:type="pct"/>
            <w:shd w:val="clear" w:color="auto" w:fill="FFFFFF"/>
            <w:vAlign w:val="center"/>
          </w:tcPr>
          <w:p>
            <w:pPr>
              <w:jc w:val="center"/>
            </w:pPr>
            <w:r>
              <w:rPr>
                <w:rFonts w:hint="eastAsia" w:ascii="宋体" w:hAnsi="宋体" w:cs="宋体"/>
              </w:rPr>
              <w:t xml:space="preserve">1919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1881/1881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1881/1919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1881/1919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0.9802</w:t>
            </w:r>
          </w:p>
        </w:tc>
        <w:tc>
          <w:tcPr>
            <w:tcW w:w="779" w:type="pct"/>
            <w:shd w:val="clear" w:color="auto" w:fill="FFFFFF"/>
            <w:vAlign w:val="center"/>
          </w:tcPr>
          <w:p>
            <w:pPr>
              <w:jc w:val="center"/>
            </w:pPr>
            <w:r>
              <w:rPr>
                <w:rFonts w:hint="eastAsia" w:ascii="宋体" w:hAnsi="宋体" w:cs="宋体"/>
              </w:rPr>
              <w:t xml:space="preserve">0.9741</w:t>
            </w:r>
          </w:p>
        </w:tc>
        <w:tc>
          <w:tcPr>
            <w:tcW w:w="779" w:type="pct"/>
            <w:shd w:val="clear" w:color="auto" w:fill="FFFFFF"/>
            <w:vAlign w:val="center"/>
          </w:tcPr>
          <w:p>
            <w:pPr>
              <w:jc w:val="center"/>
            </w:pPr>
            <w:r>
              <w:rPr>
                <w:rFonts w:hint="eastAsia" w:ascii="宋体" w:hAnsi="宋体" w:cs="宋体"/>
              </w:rPr>
              <w:t xml:space="preserve">0.9833</w:t>
            </w:r>
          </w:p>
        </w:tc>
        <w:tc>
          <w:tcPr>
            <w:tcW w:w="779" w:type="pct"/>
            <w:shd w:val="clear" w:color="auto" w:fill="FFFFFF"/>
            <w:vAlign w:val="center"/>
          </w:tcPr>
          <w:p>
            <w:pPr>
              <w:jc w:val="center"/>
            </w:pPr>
            <w:r>
              <w:rPr>
                <w:rFonts w:hint="eastAsia" w:ascii="宋体" w:hAnsi="宋体" w:cs="宋体"/>
              </w:rPr>
              <w:t xml:space="preserve">0.9802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备注：在价值时点2025年02月18日</w:t>
      </w:r>
      <w:r>
        <w:rPr>
          <w:rFonts w:hint="eastAsia" w:ascii="宋体" w:hAnsi="宋体" w:cs="宋体"/>
          <w:sz w:val="24"/>
          <w:szCs w:val="24"/>
        </w:rPr>
        <w:t xml:space="preserve">，2025年02月份价格指数尚未公布，本次估价采用2025年01月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1407931713"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吴江区吴江经济开发区吴越尚院3幢102室普通多层住宅标准房基准价格评估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众盛阳光嘉园38幢502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众盛阳光嘉园67幢403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锦泰花园23幢204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锦祥花园46幢606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85.31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89.53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131.36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9891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9599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9829</w:t>
            </w:r>
          </w:p>
        </w:tc>
        <w:tc>
          <w:tcPr>
            <w:tcW w:w="922" w:type="pct"/>
            <w:shd w:val="clear" w:color="auto" w:fill="auto"/>
            <w:vAlign w:val="center"/>
          </w:tcPr>
          <w:p>
            <w:pPr>
              <w:jc w:val="center"/>
              <w:rPr>
                <w:rFonts w:ascii="宋体" w:hAnsi="宋体" w:cs="宋体"/>
              </w:rPr>
            </w:pPr>
            <w:r>
              <w:rPr>
                <w:rFonts w:hint="eastAsia" w:ascii="宋体" w:hAnsi="宋体" w:cs="宋体"/>
              </w:rPr>
              <w:t xml:space="preserve">11026</w:t>
            </w:r>
          </w:p>
        </w:tc>
        <w:tc>
          <w:tcPr>
            <w:tcW w:w="922" w:type="pct"/>
            <w:shd w:val="clear" w:color="auto" w:fill="auto"/>
            <w:vAlign w:val="center"/>
          </w:tcPr>
          <w:p>
            <w:pPr>
              <w:jc w:val="center"/>
              <w:rPr>
                <w:rFonts w:ascii="宋体" w:hAnsi="宋体" w:cs="宋体"/>
              </w:rPr>
            </w:pPr>
            <w:r>
              <w:rPr>
                <w:rFonts w:hint="eastAsia" w:ascii="宋体" w:hAnsi="宋体" w:cs="宋体"/>
              </w:rPr>
              <w:t xml:space="preserve">9896</w:t>
            </w:r>
          </w:p>
        </w:tc>
        <w:tc>
          <w:tcPr>
            <w:tcW w:w="922" w:type="pct"/>
            <w:shd w:val="clear" w:color="auto" w:fill="auto"/>
            <w:vAlign w:val="center"/>
          </w:tcPr>
          <w:p>
            <w:pPr>
              <w:jc w:val="center"/>
              <w:rPr>
                <w:rFonts w:ascii="宋体" w:hAnsi="宋体" w:cs="宋体"/>
              </w:rPr>
            </w:pPr>
            <w:r>
              <w:rPr>
                <w:rFonts w:hint="eastAsia" w:ascii="宋体" w:hAnsi="宋体" w:cs="宋体"/>
              </w:rPr>
              <w:t xml:space="preserve">9891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0.9802</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0.9741</w:t>
            </w:r>
          </w:p>
        </w:tc>
        <w:tc>
          <w:tcPr>
            <w:tcW w:w="922" w:type="pct"/>
            <w:shd w:val="clear" w:color="auto" w:fill="auto"/>
            <w:vAlign w:val="center"/>
          </w:tcPr>
          <w:p>
            <w:pPr>
              <w:jc w:val="center"/>
              <w:rPr>
                <w:rFonts w:ascii="宋体" w:hAnsi="宋体" w:cs="宋体"/>
              </w:rPr>
            </w:pPr>
            <w:r>
              <w:rPr>
                <w:rFonts w:hint="eastAsia" w:ascii="宋体" w:hAnsi="宋体" w:cs="宋体"/>
              </w:rPr>
              <w:t xml:space="preserve">0.9833</w:t>
            </w:r>
          </w:p>
        </w:tc>
        <w:tc>
          <w:tcPr>
            <w:tcW w:w="922" w:type="pct"/>
            <w:shd w:val="clear" w:color="auto" w:fill="auto"/>
            <w:vAlign w:val="center"/>
          </w:tcPr>
          <w:p>
            <w:pPr>
              <w:jc w:val="center"/>
              <w:rPr>
                <w:rFonts w:ascii="宋体" w:hAnsi="宋体" w:cs="宋体"/>
              </w:rPr>
            </w:pPr>
            <w:r>
              <w:rPr>
                <w:rFonts w:hint="eastAsia" w:ascii="宋体" w:hAnsi="宋体" w:cs="宋体"/>
              </w:rPr>
              <w:t xml:space="preserve">0.9802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109.08/111.82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0.9705</w:t>
            </w:r>
          </w:p>
        </w:tc>
        <w:tc>
          <w:tcPr>
            <w:tcW w:w="922" w:type="pct"/>
            <w:shd w:val="clear" w:color="auto" w:fill="auto"/>
            <w:vAlign w:val="center"/>
          </w:tcPr>
          <w:p>
            <w:pPr>
              <w:jc w:val="center"/>
              <w:rPr>
                <w:rFonts w:ascii="宋体" w:hAnsi="宋体" w:cs="宋体"/>
              </w:rPr>
            </w:pPr>
            <w:r>
              <w:rPr>
                <w:rFonts w:hint="eastAsia" w:ascii="宋体" w:hAnsi="宋体" w:cs="宋体"/>
              </w:rPr>
              <w:t xml:space="preserve">0.9597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0.9592</w:t>
            </w:r>
          </w:p>
        </w:tc>
        <w:tc>
          <w:tcPr>
            <w:tcW w:w="922" w:type="pct"/>
            <w:shd w:val="clear" w:color="auto" w:fill="auto"/>
            <w:vAlign w:val="center"/>
          </w:tcPr>
          <w:p>
            <w:pPr>
              <w:jc w:val="center"/>
              <w:rPr>
                <w:rFonts w:ascii="宋体" w:hAnsi="宋体" w:cs="宋体"/>
              </w:rPr>
            </w:pPr>
            <w:r>
              <w:rPr>
                <w:rFonts w:hint="eastAsia" w:ascii="宋体" w:hAnsi="宋体" w:cs="宋体"/>
              </w:rPr>
              <w:t xml:space="preserve">0.9705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9539</w:t>
            </w:r>
          </w:p>
        </w:tc>
        <w:tc>
          <w:tcPr>
            <w:tcW w:w="922" w:type="pct"/>
            <w:shd w:val="clear" w:color="auto" w:fill="auto"/>
            <w:vAlign w:val="center"/>
          </w:tcPr>
          <w:p>
            <w:pPr>
              <w:jc w:val="center"/>
              <w:rPr>
                <w:rFonts w:ascii="宋体" w:hAnsi="宋体" w:cs="宋体"/>
              </w:rPr>
            </w:pPr>
            <w:r>
              <w:rPr>
                <w:rFonts w:hint="eastAsia" w:ascii="宋体" w:hAnsi="宋体" w:cs="宋体"/>
              </w:rPr>
              <w:t xml:space="preserve">10582</w:t>
            </w:r>
          </w:p>
        </w:tc>
        <w:tc>
          <w:tcPr>
            <w:tcW w:w="922" w:type="pct"/>
            <w:shd w:val="clear" w:color="auto" w:fill="auto"/>
            <w:vAlign w:val="center"/>
          </w:tcPr>
          <w:p>
            <w:pPr>
              <w:jc w:val="center"/>
              <w:rPr>
                <w:rFonts w:ascii="宋体" w:hAnsi="宋体" w:cs="宋体"/>
              </w:rPr>
            </w:pPr>
            <w:r>
              <w:rPr>
                <w:rFonts w:hint="eastAsia" w:ascii="宋体" w:hAnsi="宋体" w:cs="宋体"/>
              </w:rPr>
              <w:t xml:space="preserve">9492</w:t>
            </w:r>
          </w:p>
        </w:tc>
        <w:tc>
          <w:tcPr>
            <w:tcW w:w="922" w:type="pct"/>
            <w:shd w:val="clear" w:color="auto" w:fill="auto"/>
            <w:vAlign w:val="center"/>
          </w:tcPr>
          <w:p>
            <w:pPr>
              <w:jc w:val="center"/>
              <w:rPr>
                <w:rFonts w:ascii="宋体" w:hAnsi="宋体" w:cs="宋体"/>
              </w:rPr>
            </w:pPr>
            <w:r>
              <w:rPr>
                <w:rFonts w:hint="eastAsia" w:ascii="宋体" w:hAnsi="宋体" w:cs="宋体"/>
              </w:rPr>
              <w:t xml:space="preserve">9599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9539</w:t>
            </w:r>
          </w:p>
        </w:tc>
        <w:tc>
          <w:tcPr>
            <w:tcW w:w="922" w:type="pct"/>
            <w:shd w:val="clear" w:color="auto" w:fill="auto"/>
            <w:vAlign w:val="center"/>
          </w:tcPr>
          <w:p>
            <w:pPr>
              <w:jc w:val="center"/>
              <w:rPr>
                <w:rFonts w:ascii="宋体" w:hAnsi="宋体" w:cs="宋体"/>
              </w:rPr>
            </w:pPr>
            <w:r>
              <w:rPr>
                <w:rFonts w:hint="eastAsia" w:ascii="宋体" w:hAnsi="宋体" w:cs="宋体"/>
              </w:rPr>
              <w:t xml:space="preserve">10582</w:t>
            </w:r>
          </w:p>
        </w:tc>
        <w:tc>
          <w:tcPr>
            <w:tcW w:w="922" w:type="pct"/>
            <w:shd w:val="clear" w:color="auto" w:fill="auto"/>
            <w:vAlign w:val="center"/>
          </w:tcPr>
          <w:p>
            <w:pPr>
              <w:jc w:val="center"/>
              <w:rPr>
                <w:rFonts w:ascii="宋体" w:hAnsi="宋体" w:cs="宋体"/>
              </w:rPr>
            </w:pPr>
            <w:r>
              <w:rPr>
                <w:rFonts w:hint="eastAsia" w:ascii="宋体" w:hAnsi="宋体" w:cs="宋体"/>
              </w:rPr>
              <w:t xml:space="preserve">9492</w:t>
            </w:r>
          </w:p>
        </w:tc>
        <w:tc>
          <w:tcPr>
            <w:tcW w:w="922" w:type="pct"/>
            <w:shd w:val="clear" w:color="auto" w:fill="auto"/>
            <w:vAlign w:val="center"/>
          </w:tcPr>
          <w:p>
            <w:pPr>
              <w:jc w:val="center"/>
              <w:rPr>
                <w:rFonts w:ascii="宋体" w:hAnsi="宋体" w:cs="宋体"/>
              </w:rPr>
            </w:pPr>
            <w:r>
              <w:rPr>
                <w:rFonts w:hint="eastAsia" w:ascii="宋体" w:hAnsi="宋体" w:cs="宋体"/>
              </w:rPr>
              <w:t xml:space="preserve">9599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9803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F32050920240044985</w:t>
            </w:r>
          </w:p>
        </w:tc>
        <w:tc>
          <w:tcPr>
            <w:tcW w:w="1842" w:type="dxa"/>
            <w:vAlign w:val="center"/>
          </w:tcPr>
          <w:p>
            <w:pPr>
              <w:jc w:val="center"/>
            </w:pPr>
            <w:r>
              <w:rPr>
                <w:rFonts w:hint="eastAsia" w:ascii="宋体" w:hAnsi="宋体" w:cs="宋体"/>
              </w:rPr>
              <w:t xml:space="preserve">F32050920240030445</w:t>
            </w:r>
          </w:p>
        </w:tc>
        <w:tc>
          <w:tcPr>
            <w:tcW w:w="1843" w:type="dxa"/>
            <w:vAlign w:val="center"/>
          </w:tcPr>
          <w:p>
            <w:pPr>
              <w:jc w:val="center"/>
            </w:pPr>
            <w:r>
              <w:rPr>
                <w:rFonts w:hint="eastAsia" w:ascii="宋体" w:hAnsi="宋体" w:cs="宋体"/>
              </w:rPr>
              <w:t xml:space="preserve">s202408260004</w:t>
            </w:r>
          </w:p>
        </w:tc>
        <w:tc>
          <w:tcPr>
            <w:tcW w:w="1985" w:type="dxa"/>
            <w:vAlign w:val="center"/>
          </w:tcPr>
          <w:p>
            <w:pPr>
              <w:jc w:val="center"/>
            </w:pPr>
            <w:r>
              <w:rPr>
                <w:rFonts w:hint="eastAsia" w:ascii="宋体" w:hAnsi="宋体" w:cs="宋体"/>
              </w:rPr>
              <w:t xml:space="preserve">s202410080036</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众盛阳光嘉园38幢502</w:t>
            </w:r>
          </w:p>
        </w:tc>
        <w:tc>
          <w:tcPr>
            <w:tcW w:w="1842" w:type="dxa"/>
            <w:vAlign w:val="center"/>
          </w:tcPr>
          <w:p>
            <w:pPr>
              <w:jc w:val="center"/>
            </w:pPr>
            <w:r>
              <w:rPr>
                <w:rFonts w:hint="eastAsia" w:ascii="宋体" w:hAnsi="宋体" w:cs="宋体"/>
              </w:rPr>
              <w:t xml:space="preserve">众盛阳光嘉园67幢403</w:t>
            </w:r>
          </w:p>
        </w:tc>
        <w:tc>
          <w:tcPr>
            <w:tcW w:w="1843" w:type="dxa"/>
            <w:vAlign w:val="center"/>
          </w:tcPr>
          <w:p>
            <w:pPr>
              <w:jc w:val="center"/>
            </w:pPr>
            <w:r>
              <w:rPr>
                <w:rFonts w:hint="eastAsia" w:ascii="宋体" w:hAnsi="宋体" w:cs="宋体"/>
              </w:rPr>
              <w:t xml:space="preserve">锦泰花园23幢204</w:t>
            </w:r>
          </w:p>
        </w:tc>
        <w:tc>
          <w:tcPr>
            <w:tcW w:w="1985" w:type="dxa"/>
            <w:vAlign w:val="center"/>
          </w:tcPr>
          <w:p>
            <w:pPr>
              <w:jc w:val="center"/>
            </w:pPr>
            <w:r>
              <w:rPr>
                <w:rFonts w:hint="eastAsia" w:ascii="宋体" w:hAnsi="宋体" w:cs="宋体"/>
              </w:rPr>
              <w:t xml:space="preserve">锦祥花园46幢606</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众盛阳光嘉园38幢502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众盛阳光嘉园67幢403</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8"/>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锦泰花园23幢204</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0"/>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锦祥花园46幢606</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1"/>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2"/>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5"/>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6"/>
                </v:shape>
              </w:pict>
            </w:r>
          </w:p>
        </w:tc>
      </w:tr>
    </w:tbl>
    <w:p>
      <w:pPr>
        <w:spacing w:line="360" w:lineRule="auto"/>
        <w:jc w:val="both"/>
        <w:rPr>
          <w:rFonts w:ascii="仿宋_GB2312" w:hAnsi="华文仿宋" w:eastAsia="仿宋_GB2312"/>
          <w:bCs/>
          <w:sz w:val="28"/>
          <w:szCs w:val="28"/>
        </w:rPr>
      </w:pPr>
    </w:p>
    <w:sectPr>
      <w:footerReference w:type="default" r:id="rId27"/>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2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jpe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jpe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png" /><Relationship Id="rId24" Type="http://schemas.openxmlformats.org/officeDocument/2006/relationships/image" Target="media/image18.jpeg" /><Relationship Id="rId25" Type="http://schemas.openxmlformats.org/officeDocument/2006/relationships/image" Target="media/image19.jpeg" /><Relationship Id="rId26" Type="http://schemas.openxmlformats.org/officeDocument/2006/relationships/image" Target="media/image20.jpeg" /><Relationship Id="rId27" Type="http://schemas.openxmlformats.org/officeDocument/2006/relationships/footer" Target="footer2.xml" /><Relationship Id="rId28" Type="http://schemas.openxmlformats.org/officeDocument/2006/relationships/theme" Target="theme/theme1.xml" /><Relationship Id="rId29" Type="http://schemas.openxmlformats.org/officeDocument/2006/relationships/styles" Target="styles.xml" /><Relationship Id="rId3" Type="http://schemas.openxmlformats.org/officeDocument/2006/relationships/customXml" Target="../customXml/item3.xml" /><Relationship Id="rId30" Type="http://schemas.openxmlformats.org/officeDocument/2006/relationships/webSettings" Target="webSettings.xml" /><Relationship Id="rId31" Type="http://schemas.openxmlformats.org/officeDocument/2006/relationships/numbering" Target="numbering.xml" /><Relationship Id="rId32" Type="http://schemas.openxmlformats.org/officeDocument/2006/relationships/fontTable" Target="fontTable.xml" /><Relationship Id="rId33"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2025-02-08T00:33:19Z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9142</Words>
  <Characters>11068</Characters>
  <Lines>158</Lines>
  <Paragraphs>44</Paragraphs>
  <TotalTime>0</TotalTime>
  <ScaleCrop>false</ScaleCrop>
  <LinksUpToDate>false</LinksUpToDate>
  <CharactersWithSpaces>11460</CharactersWithSpaces>
  <Application>WPS Office_12.1.0.19770_F1E327BC-269C-435d-A152-05C5408002CA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2052-12.1.0.19770</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