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苏吴地评税字(2025)吴江第00388号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龙祥花园小高层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2025年03月14日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估价对象位于苏州市吴江区区域范围内的龙祥花园住宅小区小高层存量房。该小区内的物业类型包括：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月修订版），结合估价人员现场查勘，选取龙祥花园</w:t>
      </w:r>
      <w:r>
        <w:rPr>
          <w:rFonts w:ascii="宋体"/>
          <w:sz w:val="24"/>
        </w:rPr>
        <w:t xml:space="preserve">3幢105室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12</w:t>
      </w:r>
      <w:r>
        <w:rPr>
          <w:rFonts w:hint="eastAsia" w:ascii="宋体"/>
          <w:sz w:val="24"/>
        </w:rPr>
        <w:t xml:space="preserve">层，建筑面积</w:t>
      </w:r>
      <w:r>
        <w:rPr>
          <w:rFonts w:ascii="宋体"/>
          <w:sz w:val="24"/>
        </w:rPr>
        <w:t xml:space="preserve">89.31</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2086年11月17日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2025年03月06日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2025年03月06日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玖仟叁佰贰拾元整</w:t>
      </w:r>
      <w:r>
        <w:rPr>
          <w:rFonts w:hint="eastAsia" w:ascii="宋体" w:hAnsi="宋体"/>
          <w:b/>
          <w:bCs/>
          <w:sz w:val="24"/>
        </w:rPr>
        <w:t xml:space="preserve">（RMB</w:t>
      </w:r>
      <w:r>
        <w:rPr>
          <w:rFonts w:ascii="宋体" w:hAnsi="宋体"/>
          <w:b/>
          <w:bCs/>
          <w:sz w:val="24"/>
        </w:rPr>
        <w:t xml:space="preserve"> 9320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2025年03月14日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2025年03月14日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2025年03月14日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5.本报告作为整体使用时有效。若房地产市场无重大波动，本估价报告自出具日起一年内有效，从2025年03月14日至</w:t>
      </w:r>
      <w:r>
        <w:rPr>
          <w:rFonts w:ascii="宋体" w:hAnsi="宋体"/>
          <w:sz w:val="24"/>
        </w:rPr>
        <w:t xml:space="preserve">2026年03月13日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估价对象为龙祥花园</w:t>
      </w:r>
      <w:r>
        <w:rPr>
          <w:rFonts w:ascii="宋体" w:hAnsi="宋体"/>
          <w:sz w:val="24"/>
        </w:rPr>
        <w:t xml:space="preserve">3幢105室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联杨3区西侧</w:t>
      </w:r>
      <w:r>
        <w:rPr>
          <w:rFonts w:hint="eastAsia" w:hAnsi="宋体"/>
          <w:sz w:val="24"/>
        </w:rPr>
        <w:t xml:space="preserve">的“龙祥花园”住宅区内。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联杨3区</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芦荡路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松陵大道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89.31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联杨3区西侧</w:t>
      </w:r>
      <w:r>
        <w:rPr>
          <w:rFonts w:hint="eastAsia" w:hAnsi="宋体"/>
          <w:sz w:val="24"/>
        </w:rPr>
        <w:t xml:space="preserve">的“龙祥花园”住宅区内。该小区内的物业类型包括：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龙祥花园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“龙祥花园”小区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由于龙祥花园市场交易不活跃，片区内可选案例较少，因此选择的案例A，B，C，D，距离在3公里以外。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龙祥花园住宅2025年3月挂牌均价14416元/平方米，较年初持平。待评估二手房住宅近8个月（2024年08月-2025年03月）挂牌均价波动幅度较小，价格维持在14416-15698元/平方米之间。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均价说明：龙祥花园小区物业类型包括：小高层、高层,房源均价为:14416元/平方米，包含毛坯价值以及附带装修价值。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该房屋为12层住宅楼的第1层，建于2019年，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89.31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2086年11月17日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2025年03月06日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玖仟叁佰贰拾元整</w:t>
      </w:r>
      <w:r>
        <w:rPr>
          <w:rFonts w:hint="eastAsia" w:ascii="宋体" w:hAnsi="宋体"/>
          <w:b/>
          <w:bCs/>
          <w:sz w:val="24"/>
        </w:rPr>
        <w:t xml:space="preserve">（RMB </w:t>
      </w:r>
      <w:r>
        <w:rPr>
          <w:rFonts w:ascii="宋体" w:hAnsi="宋体"/>
          <w:b/>
          <w:bCs/>
          <w:sz w:val="24"/>
        </w:rPr>
        <w:t xml:space="preserve">9320</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83.23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9320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2025年03月14日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2025年03月14日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本次实地查勘期为2025年03月06日，并于当日完成现场查勘。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2025年03月06日</w:t>
      </w:r>
      <w:r>
        <w:rPr>
          <w:rFonts w:hint="eastAsia" w:ascii="宋体"/>
          <w:sz w:val="24"/>
        </w:rPr>
        <w:t xml:space="preserve">至2025年03月14日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估价对象为苏州市吴江区“龙祥花园”住宅区内的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位于芦荡路北侧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芦荡路北侧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附近有712路、717路、721路等多条公交线路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快乐购物超市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中国交通银行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吴江青禾幼儿园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2086年11月17日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rPr>
        <w:t xml:space="preserve">联杨3区</w:t>
      </w:r>
      <w:r>
        <w:rPr>
          <w:rFonts w:hint="eastAsia" w:ascii="宋体" w:hAnsi="宋体"/>
          <w:sz w:val="24"/>
        </w:rPr>
        <w:t xml:space="preserve">，南至</w:t>
      </w:r>
      <w:r>
        <w:rPr>
          <w:rFonts w:ascii="宋体" w:hAnsi="宋体"/>
          <w:sz w:val="24"/>
        </w:rPr>
        <w:t xml:space="preserve">芦荡路</w:t>
      </w:r>
      <w:r>
        <w:rPr>
          <w:rFonts w:hint="eastAsia" w:ascii="宋体" w:hAnsi="宋体"/>
          <w:sz w:val="24"/>
        </w:rPr>
        <w:t xml:space="preserve">，西至</w:t>
      </w:r>
      <w:r>
        <w:rPr>
          <w:rFonts w:ascii="宋体" w:hAnsi="宋体"/>
          <w:sz w:val="24"/>
        </w:rPr>
        <w:t xml:space="preserve">松陵大道</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估价对象为坐落于苏州市吴江区龙祥花园</w:t>
      </w:r>
      <w:r>
        <w:t xml:space="preserve"> </w:t>
      </w:r>
      <w:r>
        <w:rPr>
          <w:rFonts w:ascii="宋体" w:hAnsi="宋体"/>
          <w:kern w:val="2"/>
          <w:sz w:val="24"/>
        </w:rPr>
        <w:t xml:space="preserve">3幢105室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估价对象为小高层建筑，建筑面积为</w:t>
      </w:r>
      <w:r>
        <w:rPr>
          <w:rFonts w:hAnsi="宋体"/>
          <w:sz w:val="24"/>
        </w:rPr>
        <w:t xml:space="preserve">89.31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3层数、层高：估价对象位于总楼层为12层的第1层，层高约2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估价对象建成于2019年，基础较为稳固，未见沉降；墙面、地面、门窗等保养完好，综合保养成新度为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pStyle w:val="PlainText"/>
        <w:spacing w:line="480" w:lineRule="exact"/>
        <w:ind w:firstLine="480" w:firstLineChars="200"/>
        <w:rPr>
          <w:rFonts w:hAnsi="宋体" w:eastAsia="宋体" w:cs="Times New Roman"/>
          <w:sz w:val="24"/>
          <w:szCs w:val="24"/>
        </w:rPr>
      </w:pPr>
      <w:bookmarkStart w:name="_Hlk159246685" w:id="10"/>
      <w:bookmarkStart w:name="_Hlk159245597" w:id="11"/>
      <w:bookmarkStart w:name="_Hlk38977133" w:id="12"/>
      <w:r>
        <w:rPr>
          <w:rFonts w:hAnsi="宋体" w:eastAsia="宋体" w:cs="Times New Roman"/>
          <w:sz w:val="24"/>
          <w:szCs w:val="24"/>
        </w:rPr>
        <w:t xml:space="preserve">2024年吴江区经济状况整体呈现稳中有进、稳中提质、稳中向好的态势。</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1.1</w:t>
      </w:r>
      <w:r>
        <w:rPr>
          <w:rFonts w:ascii="宋体" w:hAnsi="宋体"/>
          <w:kern w:val="2"/>
          <w:sz w:val="24"/>
          <w:szCs w:val="24"/>
        </w:rPr>
        <w:t xml:space="preserve">地区生产总值增长显著</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地区生产总值</w:t>
      </w:r>
      <w:r>
        <w:rPr>
          <w:rFonts w:hint="eastAsia" w:ascii="宋体" w:hAnsi="宋体"/>
          <w:kern w:val="2"/>
          <w:sz w:val="24"/>
          <w:szCs w:val="24"/>
        </w:rPr>
        <w:t xml:space="preserve">增长7.0%（可比价）</w:t>
      </w:r>
      <w:r>
        <w:rPr>
          <w:rFonts w:ascii="宋体" w:hAnsi="宋体"/>
          <w:kern w:val="2"/>
          <w:sz w:val="24"/>
          <w:szCs w:val="24"/>
        </w:rPr>
        <w:t xml:space="preserve">，增速位居苏州大市前列</w:t>
      </w:r>
      <w:r>
        <w:rPr>
          <w:rFonts w:hint="eastAsia" w:ascii="MS Gothic" w:hAnsi="MS Gothic" w:eastAsia="MS Gothic" w:cs="MS Gothic"/>
          <w:kern w:val="2"/>
          <w:sz w:val="24"/>
          <w:szCs w:val="24"/>
        </w:rPr>
        <w:t xml:space="preserve">‌</w:t>
      </w:r>
      <w:r>
        <w:rPr>
          <w:rFonts w:ascii="宋体" w:hAnsi="宋体"/>
          <w:kern w:val="2"/>
          <w:sz w:val="24"/>
          <w:szCs w:val="24"/>
        </w:rPr>
        <w:t xml:space="preserve">。这一增长率不仅体现了吴江区经济的稳健增长，也彰显了其在苏州市乃至江苏省内的经济地位。</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1.2</w:t>
      </w:r>
      <w:r>
        <w:rPr>
          <w:rFonts w:ascii="宋体" w:hAnsi="宋体"/>
          <w:kern w:val="2"/>
          <w:sz w:val="24"/>
          <w:szCs w:val="24"/>
        </w:rPr>
        <w:t xml:space="preserve">消费和外贸表现稳健</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社会消费品零售总额达到812亿元，增长5.5%，表明消费市场活跃，居民消费需求旺盛</w:t>
      </w:r>
      <w:r>
        <w:rPr>
          <w:rFonts w:hint="eastAsia" w:ascii="MS Gothic" w:hAnsi="MS Gothic" w:eastAsia="MS Gothic" w:cs="MS Gothic"/>
          <w:kern w:val="2"/>
          <w:sz w:val="24"/>
          <w:szCs w:val="24"/>
        </w:rPr>
        <w:t xml:space="preserve">‌</w:t>
      </w:r>
      <w:r>
        <w:rPr>
          <w:rFonts w:ascii="宋体" w:hAnsi="宋体"/>
          <w:kern w:val="2"/>
          <w:sz w:val="24"/>
          <w:szCs w:val="24"/>
        </w:rPr>
        <w:t xml:space="preserve">。进出口总额1731.9亿元，增长8.4%，其中出口增长8.7%，显示出外贸出口的强劲增长势头</w:t>
      </w:r>
      <w:r>
        <w:rPr>
          <w:rFonts w:hint="eastAsia" w:ascii="MS Gothic" w:hAnsi="MS Gothic" w:eastAsia="MS Gothic" w:cs="MS Gothic"/>
          <w:kern w:val="2"/>
          <w:sz w:val="24"/>
          <w:szCs w:val="24"/>
        </w:rPr>
        <w:t xml:space="preserve">‌</w:t>
      </w:r>
      <w:r>
        <w:rPr>
          <w:rFonts w:ascii="宋体" w:hAnsi="宋体"/>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1.3</w:t>
      </w:r>
      <w:r>
        <w:rPr>
          <w:rFonts w:ascii="宋体" w:hAnsi="宋体"/>
          <w:kern w:val="2"/>
          <w:sz w:val="24"/>
          <w:szCs w:val="24"/>
        </w:rPr>
        <w:t xml:space="preserve">投资结构持续优化</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全社会固定资产投资712.6亿元，增长1%，虽然增速不高，但投资结构更加合理，工业投资和服务业投资的比例更加协调</w:t>
      </w:r>
      <w:r>
        <w:rPr>
          <w:rFonts w:hint="eastAsia" w:ascii="MS Gothic" w:hAnsi="MS Gothic" w:eastAsia="MS Gothic" w:cs="MS Gothic"/>
          <w:kern w:val="2"/>
          <w:sz w:val="24"/>
          <w:szCs w:val="24"/>
        </w:rPr>
        <w:t xml:space="preserve">‌</w:t>
      </w:r>
      <w:r>
        <w:rPr>
          <w:rFonts w:ascii="宋体" w:hAnsi="宋体"/>
          <w:kern w:val="2"/>
          <w:sz w:val="24"/>
          <w:szCs w:val="24"/>
        </w:rPr>
        <w:t xml:space="preserve">。特别是工业投资的快速增长，为吴江区产业结构的优化和升级提供了有力支持。</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1.4</w:t>
      </w:r>
      <w:r>
        <w:rPr>
          <w:rFonts w:ascii="宋体" w:hAnsi="宋体"/>
          <w:kern w:val="2"/>
          <w:sz w:val="24"/>
          <w:szCs w:val="24"/>
        </w:rPr>
        <w:t xml:space="preserve">高质量发展成果显著</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吴江区在“2024赛迪百强区”榜单中继续保持全国第八、江苏第一的优异成绩，这充分体现了吴江区在高质量发展方面的卓越表现</w:t>
      </w:r>
      <w:r>
        <w:rPr>
          <w:rFonts w:hint="eastAsia" w:ascii="MS Gothic" w:hAnsi="MS Gothic" w:eastAsia="MS Gothic" w:cs="MS Gothic"/>
          <w:kern w:val="2"/>
          <w:sz w:val="24"/>
          <w:szCs w:val="24"/>
        </w:rPr>
        <w:t xml:space="preserve">‌</w:t>
      </w:r>
      <w:r>
        <w:rPr>
          <w:rFonts w:ascii="宋体" w:hAnsi="宋体"/>
          <w:kern w:val="2"/>
          <w:sz w:val="24"/>
          <w:szCs w:val="24"/>
        </w:rPr>
        <w:t xml:space="preserve">。同时，吴江开发区在国家级经济技术开发区中排名也保持在全国前列，进一步彰显了吴江区的经济实力和发展潜力。</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吴江区宏观经济状况整体呈现稳中有进、稳中提质、稳中向好的态势。地区生产总值、消费和外贸、投资结构以及高质量发展等方面均取得了显著成效。这些成绩的取得离不开吴江区上下的共同努力和持续奋斗，也为吴江区未来的经济发展奠定了坚实基础。</w:t>
      </w:r>
      <w:bookmarkEnd w:id="10"/>
      <w:bookmarkEnd w:id="11"/>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2、</w:t>
      </w:r>
      <w:r>
        <w:rPr>
          <w:rFonts w:ascii="宋体" w:hAnsi="宋体"/>
          <w:b/>
          <w:kern w:val="2"/>
          <w:sz w:val="24"/>
          <w:szCs w:val="24"/>
        </w:rPr>
        <w:t xml:space="preserve">吴江区人均可支配收入</w:t>
      </w:r>
    </w:p>
    <w:p>
      <w:pPr>
        <w:adjustRightInd w:val="0"/>
        <w:snapToGrid w:val="0"/>
        <w:spacing w:line="480" w:lineRule="exact"/>
        <w:ind w:firstLine="560" w:firstLineChars="200"/>
        <w:rPr>
          <w:rFonts w:ascii="宋体" w:hAnsi="宋体"/>
          <w:kern w:val="2"/>
          <w:sz w:val="24"/>
          <w:szCs w:val="24"/>
        </w:rPr>
      </w:pPr>
      <w:r>
        <w:rPr>
          <w:rFonts w:hint="eastAsia" w:ascii="MS Gothic" w:hAnsi="MS Gothic" w:eastAsia="MS Gothic" w:cs="MS Gothic"/>
          <w:kern w:val="2"/>
          <w:sz w:val="28"/>
          <w:szCs w:val="28"/>
        </w:rPr>
        <w:t xml:space="preserve">‌</w:t>
      </w:r>
      <w:r>
        <w:rPr>
          <w:rFonts w:ascii="宋体" w:hAnsi="宋体"/>
          <w:kern w:val="2"/>
          <w:sz w:val="24"/>
          <w:szCs w:val="24"/>
        </w:rPr>
        <w:t xml:space="preserve">2024年</w:t>
      </w:r>
      <w:r>
        <w:rPr>
          <w:rFonts w:hint="eastAsia" w:ascii="宋体" w:hAnsi="宋体"/>
          <w:kern w:val="2"/>
          <w:sz w:val="24"/>
          <w:szCs w:val="24"/>
        </w:rPr>
        <w:t xml:space="preserve">，</w:t>
      </w:r>
      <w:r>
        <w:rPr>
          <w:rFonts w:ascii="宋体" w:hAnsi="宋体"/>
          <w:kern w:val="2"/>
          <w:sz w:val="24"/>
          <w:szCs w:val="24"/>
        </w:rPr>
        <w:t xml:space="preserve">吴江区全体常住居民人均可支配收入为74766元</w:t>
      </w:r>
      <w:r>
        <w:rPr>
          <w:rFonts w:hint="eastAsia" w:ascii="MS Gothic" w:hAnsi="MS Gothic" w:eastAsia="MS Gothic" w:cs="MS Gothic"/>
          <w:kern w:val="2"/>
          <w:sz w:val="24"/>
          <w:szCs w:val="24"/>
        </w:rPr>
        <w:t xml:space="preserve">‌</w:t>
      </w:r>
      <w:r>
        <w:rPr>
          <w:rFonts w:ascii="宋体" w:hAnsi="宋体"/>
          <w:kern w:val="2"/>
          <w:sz w:val="24"/>
          <w:szCs w:val="24"/>
        </w:rPr>
        <w:t xml:space="preserve">，同比增长5.2%。其中，城镇居民人均可支配收入86702元，同比增长4.9%；农村居民人均可支配收入49019元，同比增长5.6%。城乡居民人均收入比值1.77，比上年缩小0.01，城乡居民收入比进一步缩小，收入结构不断优化</w:t>
      </w:r>
      <w:r>
        <w:rPr>
          <w:rFonts w:hint="eastAsia" w:ascii="MS Gothic" w:hAnsi="MS Gothic" w:eastAsia="MS Gothic" w:cs="MS Gothic"/>
          <w:kern w:val="2"/>
          <w:sz w:val="24"/>
          <w:szCs w:val="24"/>
        </w:rPr>
        <w:t xml:space="preserve">‌</w:t>
      </w:r>
      <w:r>
        <w:rPr>
          <w:rFonts w:ascii="宋体" w:hAnsi="宋体"/>
          <w:kern w:val="2"/>
          <w:sz w:val="24"/>
          <w:szCs w:val="24"/>
        </w:rPr>
        <w:t xml:space="preserve">。</w:t>
      </w:r>
      <w:bookmarkEnd w:id="12"/>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3、苏州市房地产调控政策</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2024年2月27日，苏州市吴江区人民政府印发《关于支持立体生态住宅规划建设的实施方案（试行）》，有效期为2年。</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6月2日，苏州市房地产长效机制试点工作领导小组出台《关于进一步促进我市房地产市场平稳健康发展若干政策措施的通知》，即日起实施16条措施，加快构建房地产发展新模式，进一步满足居民刚性和多样化改善性住房需求，改善供给，提供多样化优质住宅，优化服务，促进房地产行业健康发展，降低成本，满足合理住房需求等方面都提出了相应政策措施。</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2024年7月28日，苏州市住房与城乡建设局发布了《苏州市住宅品质提升设计指引2.0（征求意见稿）》。苏州致力于提高住宅品质需求，鼓励设置空中庭院等系列高品质住宅实施举措。</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2024年8月1日，苏州市放宽落户限制买房即可落户，同时加大人才引进补贴，助力刺激购房消费。</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9月13日，进一步巩固增强经济回升向好态势，苏州推出8方面26条稳经济促发展政策措施。重点强调构建房地产发展新模式，苏州城市率先推行“两智一全”高质量品质住房的建设路径。“两智一全”住宅是以满足多样化需求为导向，以“数字化、智慧化、绿色化、产业化”为支撑，基于“普适+特色”的“智能建造+智慧品质+全生命周期管理”住宅。</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2024年，苏州楼市政策应松尽松，应出尽出，公积金全方位支持、利率历史低位、首套分区认定、房价和地价均不限价。</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4、</w:t>
      </w:r>
      <w:r>
        <w:rPr>
          <w:rFonts w:ascii="宋体" w:hAnsi="宋体"/>
          <w:b/>
          <w:kern w:val="2"/>
          <w:sz w:val="24"/>
          <w:szCs w:val="24"/>
        </w:rPr>
        <w:t xml:space="preserve">吴江区住宅房地产市场状况</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2024年全年吴江区住宅房地产市场整体保持稳定，成交量有所下滑，但改善型需求成为市场主流，部分区域房价经历调整</w:t>
      </w:r>
      <w:r>
        <w:rPr>
          <w:rFonts w:hint="eastAsia" w:ascii="MS Gothic" w:hAnsi="MS Gothic" w:eastAsia="MS Gothic" w:cs="MS Gothic"/>
          <w:kern w:val="2"/>
          <w:sz w:val="24"/>
          <w:szCs w:val="24"/>
        </w:rPr>
        <w:t xml:space="preserve">‌</w:t>
      </w:r>
      <w:r>
        <w:rPr>
          <w:rFonts w:ascii="宋体" w:hAnsi="宋体"/>
          <w:kern w:val="2"/>
          <w:sz w:val="24"/>
          <w:szCs w:val="24"/>
        </w:rPr>
        <w:t xml:space="preserve">。2024年全年，吴江区住宅房地产市场在多重因素的影响下，呈现出以下特点：</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4.1</w:t>
      </w:r>
      <w:r>
        <w:rPr>
          <w:rFonts w:ascii="宋体" w:hAnsi="宋体"/>
          <w:kern w:val="2"/>
          <w:sz w:val="24"/>
          <w:szCs w:val="24"/>
        </w:rPr>
        <w:t xml:space="preserve">成交量有所下滑</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2024年吴江区商品房成交量有所下滑，这可能与整体市场环境以及购房者的观望态度有关。</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4.2</w:t>
      </w:r>
      <w:r>
        <w:rPr>
          <w:rFonts w:ascii="宋体" w:hAnsi="宋体"/>
          <w:kern w:val="2"/>
          <w:sz w:val="24"/>
          <w:szCs w:val="24"/>
        </w:rPr>
        <w:t xml:space="preserve">改善型需求成为市场主流</w:t>
      </w:r>
      <w:r>
        <w:rPr>
          <w:rFonts w:hint="eastAsia" w:ascii="MS Gothic" w:hAnsi="MS Gothic" w:eastAsia="MS Gothic" w:cs="MS Gothic"/>
          <w:kern w:val="2"/>
          <w:sz w:val="24"/>
          <w:szCs w:val="24"/>
        </w:rPr>
        <w:t xml:space="preserve">‌</w:t>
      </w:r>
    </w:p>
    <w:p>
      <w:pPr>
        <w:adjustRightInd w:val="0"/>
        <w:snapToGrid w:val="0"/>
        <w:spacing w:line="480" w:lineRule="exact"/>
        <w:ind w:firstLine="480" w:firstLineChars="200"/>
        <w:rPr>
          <w:rFonts w:ascii="宋体" w:hAnsi="宋体"/>
          <w:kern w:val="2"/>
          <w:sz w:val="24"/>
          <w:szCs w:val="24"/>
        </w:rPr>
      </w:pPr>
      <w:r>
        <w:rPr>
          <w:rFonts w:ascii="宋体" w:hAnsi="宋体"/>
          <w:kern w:val="2"/>
          <w:sz w:val="24"/>
          <w:szCs w:val="24"/>
        </w:rPr>
        <w:t xml:space="preserve">从销售户型来看，90平米至144平米的户型占比高达78%（其中90平米至120平米户型占比43%，120平米至144平米户型占比35%）</w:t>
      </w:r>
      <w:r>
        <w:rPr>
          <w:rFonts w:hint="eastAsia" w:ascii="MS Gothic" w:hAnsi="MS Gothic" w:eastAsia="MS Gothic" w:cs="MS Gothic"/>
          <w:kern w:val="2"/>
          <w:sz w:val="24"/>
          <w:szCs w:val="24"/>
        </w:rPr>
        <w:t xml:space="preserve">‌</w:t>
      </w:r>
      <w:r>
        <w:rPr>
          <w:rFonts w:ascii="宋体" w:hAnsi="宋体"/>
          <w:kern w:val="2"/>
          <w:sz w:val="24"/>
          <w:szCs w:val="24"/>
        </w:rPr>
        <w:t xml:space="preserve">，反映出购房者对于改善型住宅的偏好。这一趋势在全年持续，成为吴江区住宅房地产市场的主流。</w:t>
      </w:r>
    </w:p>
    <w:p>
      <w:pPr>
        <w:adjustRightInd w:val="0"/>
        <w:snapToGrid w:val="0"/>
        <w:spacing w:line="480" w:lineRule="exact"/>
        <w:ind w:firstLine="480" w:firstLineChars="200"/>
        <w:rPr>
          <w:rFonts w:ascii="宋体" w:hAnsi="宋体"/>
          <w:kern w:val="2"/>
          <w:sz w:val="24"/>
          <w:szCs w:val="24"/>
        </w:rPr>
      </w:pPr>
      <w:r>
        <w:rPr>
          <w:rFonts w:hint="eastAsia" w:ascii="MS Gothic" w:hAnsi="MS Gothic" w:eastAsia="MS Gothic" w:cs="MS Gothic"/>
          <w:kern w:val="2"/>
          <w:sz w:val="24"/>
          <w:szCs w:val="24"/>
        </w:rPr>
        <w:t xml:space="preserve">‌</w:t>
      </w:r>
      <w:r>
        <w:rPr>
          <w:rFonts w:ascii="宋体" w:hAnsi="宋体"/>
          <w:kern w:val="2"/>
          <w:sz w:val="24"/>
          <w:szCs w:val="24"/>
        </w:rPr>
        <w:t xml:space="preserve">房价经历调整</w:t>
      </w:r>
      <w:r>
        <w:rPr>
          <w:rFonts w:hint="eastAsia" w:ascii="MS Gothic" w:hAnsi="MS Gothic" w:eastAsia="MS Gothic" w:cs="MS Gothic"/>
          <w:kern w:val="2"/>
          <w:sz w:val="24"/>
          <w:szCs w:val="24"/>
        </w:rPr>
        <w:t xml:space="preserve">‌</w:t>
      </w:r>
      <w:r>
        <w:rPr>
          <w:rFonts w:ascii="宋体" w:hAnsi="宋体"/>
          <w:kern w:val="2"/>
          <w:sz w:val="24"/>
          <w:szCs w:val="24"/>
        </w:rPr>
        <w:t xml:space="preserve">：与苏州其他区域相比，吴江区的房价在2024年经历了一定的调整。部分刚需房价下降明显，但优质楼盘仍具备较高的投资潜力和居住价值</w:t>
      </w:r>
      <w:r>
        <w:rPr>
          <w:rFonts w:hint="eastAsia" w:ascii="MS Gothic" w:hAnsi="MS Gothic" w:eastAsia="MS Gothic" w:cs="MS Gothic"/>
          <w:kern w:val="2"/>
          <w:sz w:val="24"/>
          <w:szCs w:val="24"/>
        </w:rPr>
        <w:t xml:space="preserve">。</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5、住宅房地产交易税收政策</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.1</w:t>
      </w:r>
      <w:r>
        <w:rPr>
          <w:rFonts w:hint="eastAsia" w:ascii="宋体" w:hAnsi="宋体"/>
          <w:kern w:val="2"/>
          <w:sz w:val="24"/>
          <w:szCs w:val="24"/>
        </w:rPr>
        <w:t xml:space="preserve">个人购入房地产</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自</w:t>
      </w:r>
      <w:r>
        <w:rPr>
          <w:rFonts w:ascii="宋体" w:hAnsi="宋体"/>
          <w:kern w:val="2"/>
          <w:sz w:val="24"/>
          <w:szCs w:val="24"/>
        </w:rPr>
        <w:t xml:space="preserve">20</w:t>
      </w:r>
      <w:r>
        <w:rPr>
          <w:rFonts w:hint="eastAsia" w:ascii="宋体" w:hAnsi="宋体"/>
          <w:kern w:val="2"/>
          <w:sz w:val="24"/>
          <w:szCs w:val="24"/>
        </w:rPr>
        <w:t xml:space="preserve">24年1</w:t>
      </w:r>
      <w:r>
        <w:rPr>
          <w:rFonts w:ascii="宋体" w:hAnsi="宋体"/>
          <w:kern w:val="2"/>
          <w:sz w:val="24"/>
          <w:szCs w:val="24"/>
        </w:rPr>
        <w:t xml:space="preserve">2</w:t>
      </w:r>
      <w:r>
        <w:rPr>
          <w:rFonts w:hint="eastAsia" w:ascii="宋体" w:hAnsi="宋体"/>
          <w:kern w:val="2"/>
          <w:sz w:val="24"/>
          <w:szCs w:val="24"/>
        </w:rPr>
        <w:t xml:space="preserve">月1日起，对个人购买家庭唯一住房（家庭成员范围包括购房人、配偶以及未成年子女，下同），面积为140平方米及以下的，减按</w:t>
      </w:r>
      <w:r>
        <w:rPr>
          <w:rFonts w:ascii="宋体" w:hAnsi="宋体"/>
          <w:kern w:val="2"/>
          <w:sz w:val="24"/>
          <w:szCs w:val="24"/>
        </w:rPr>
        <w:t xml:space="preserve">1%</w:t>
      </w:r>
      <w:r>
        <w:rPr>
          <w:rFonts w:hint="eastAsia" w:ascii="宋体" w:hAnsi="宋体"/>
          <w:kern w:val="2"/>
          <w:sz w:val="24"/>
          <w:szCs w:val="24"/>
        </w:rPr>
        <w:t xml:space="preserve">的税率征收契税；面积为140平方米以上的，减按</w:t>
      </w:r>
      <w:r>
        <w:rPr>
          <w:rFonts w:ascii="宋体" w:hAnsi="宋体"/>
          <w:kern w:val="2"/>
          <w:sz w:val="24"/>
          <w:szCs w:val="24"/>
        </w:rPr>
        <w:t xml:space="preserve">1.5%</w:t>
      </w:r>
      <w:r>
        <w:rPr>
          <w:rFonts w:hint="eastAsia" w:ascii="宋体" w:hAnsi="宋体"/>
          <w:kern w:val="2"/>
          <w:sz w:val="24"/>
          <w:szCs w:val="24"/>
        </w:rPr>
        <w:t xml:space="preserve">的税率征收契税。对个人购买家庭第二套改善性住房，面积为140平方米及以下的，减按</w:t>
      </w:r>
      <w:r>
        <w:rPr>
          <w:rFonts w:ascii="宋体" w:hAnsi="宋体"/>
          <w:kern w:val="2"/>
          <w:sz w:val="24"/>
          <w:szCs w:val="24"/>
        </w:rPr>
        <w:t xml:space="preserve">1%</w:t>
      </w:r>
      <w:r>
        <w:rPr>
          <w:rFonts w:hint="eastAsia" w:ascii="宋体" w:hAnsi="宋体"/>
          <w:kern w:val="2"/>
          <w:sz w:val="24"/>
          <w:szCs w:val="24"/>
        </w:rPr>
        <w:t xml:space="preserve">的税率征收契税；面积为140平方米以上的，减按</w:t>
      </w:r>
      <w:r>
        <w:rPr>
          <w:rFonts w:ascii="宋体" w:hAnsi="宋体"/>
          <w:kern w:val="2"/>
          <w:sz w:val="24"/>
          <w:szCs w:val="24"/>
        </w:rPr>
        <w:t xml:space="preserve">2%</w:t>
      </w:r>
      <w:r>
        <w:rPr>
          <w:rFonts w:hint="eastAsia" w:ascii="宋体" w:hAnsi="宋体"/>
          <w:kern w:val="2"/>
          <w:sz w:val="24"/>
          <w:szCs w:val="24"/>
        </w:rPr>
        <w:t xml:space="preserve">的税率征收契税。对个人购买家庭第三套及以上住房，一律按</w:t>
      </w:r>
      <w:r>
        <w:rPr>
          <w:rFonts w:ascii="宋体" w:hAnsi="宋体"/>
          <w:kern w:val="2"/>
          <w:sz w:val="24"/>
          <w:szCs w:val="24"/>
        </w:rPr>
        <w:t xml:space="preserve">3%</w:t>
      </w:r>
      <w:r>
        <w:rPr>
          <w:rFonts w:hint="eastAsia" w:ascii="宋体" w:hAnsi="宋体"/>
          <w:kern w:val="2"/>
          <w:sz w:val="24"/>
          <w:szCs w:val="24"/>
        </w:rPr>
        <w:t xml:space="preserve">的税率征收契税。</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个人转让房地产</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.2.1</w:t>
      </w:r>
      <w:r>
        <w:rPr>
          <w:rFonts w:hint="eastAsia" w:ascii="宋体" w:hAnsi="宋体"/>
          <w:kern w:val="2"/>
          <w:sz w:val="24"/>
          <w:szCs w:val="24"/>
        </w:rPr>
        <w:t xml:space="preserve">增值税：个人将购买不足</w:t>
      </w:r>
      <w:r>
        <w:rPr>
          <w:rFonts w:ascii="宋体" w:hAnsi="宋体"/>
          <w:kern w:val="2"/>
          <w:sz w:val="24"/>
          <w:szCs w:val="24"/>
        </w:rPr>
        <w:t xml:space="preserve">2</w:t>
      </w:r>
      <w:r>
        <w:rPr>
          <w:rFonts w:hint="eastAsia" w:ascii="宋体" w:hAnsi="宋体"/>
          <w:kern w:val="2"/>
          <w:sz w:val="24"/>
          <w:szCs w:val="24"/>
        </w:rPr>
        <w:t xml:space="preserve">年的住房对外销售的，按照</w:t>
      </w:r>
      <w:r>
        <w:rPr>
          <w:rFonts w:ascii="宋体" w:hAnsi="宋体"/>
          <w:kern w:val="2"/>
          <w:sz w:val="24"/>
          <w:szCs w:val="24"/>
        </w:rPr>
        <w:t xml:space="preserve">5%</w:t>
      </w:r>
      <w:r>
        <w:rPr>
          <w:rFonts w:hint="eastAsia" w:ascii="宋体" w:hAnsi="宋体"/>
          <w:kern w:val="2"/>
          <w:sz w:val="24"/>
          <w:szCs w:val="24"/>
        </w:rPr>
        <w:t xml:space="preserve">的征收率全额缴纳增值税；个人将购买</w:t>
      </w:r>
      <w:r>
        <w:rPr>
          <w:rFonts w:ascii="宋体" w:hAnsi="宋体"/>
          <w:kern w:val="2"/>
          <w:sz w:val="24"/>
          <w:szCs w:val="24"/>
        </w:rPr>
        <w:t xml:space="preserve">2</w:t>
      </w:r>
      <w:r>
        <w:rPr>
          <w:rFonts w:hint="eastAsia" w:ascii="宋体" w:hAnsi="宋体"/>
          <w:kern w:val="2"/>
          <w:sz w:val="24"/>
          <w:szCs w:val="24"/>
        </w:rPr>
        <w:t xml:space="preserve">年以上（含</w:t>
      </w:r>
      <w:r>
        <w:rPr>
          <w:rFonts w:ascii="宋体" w:hAnsi="宋体"/>
          <w:kern w:val="2"/>
          <w:sz w:val="24"/>
          <w:szCs w:val="24"/>
        </w:rPr>
        <w:t xml:space="preserve">2</w:t>
      </w:r>
      <w:r>
        <w:rPr>
          <w:rFonts w:hint="eastAsia" w:ascii="宋体" w:hAnsi="宋体"/>
          <w:kern w:val="2"/>
          <w:sz w:val="24"/>
          <w:szCs w:val="24"/>
        </w:rPr>
        <w:t xml:space="preserve">年）的住房对外销售的，免征增值税。</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2城市建设维护税、教育费附加、地方教育费附加：</w:t>
      </w:r>
      <w:bookmarkStart w:name="_GoBack" w:id="13"/>
      <w:bookmarkEnd w:id="13"/>
      <w:r>
        <w:rPr>
          <w:rFonts w:hint="eastAsia" w:ascii="宋体" w:hAnsi="宋体"/>
          <w:kern w:val="2"/>
          <w:sz w:val="24"/>
          <w:szCs w:val="24"/>
        </w:rPr>
        <w:t xml:space="preserve">随增值税附征。</w:t>
      </w:r>
    </w:p>
    <w:p>
      <w:pPr>
        <w:adjustRightInd w:val="0"/>
        <w:snapToGrid w:val="0"/>
        <w:spacing w:line="480" w:lineRule="exact"/>
        <w:ind w:firstLine="480" w:firstLineChars="200"/>
        <w:rPr>
          <w:rFonts w:ascii="宋体" w:hAnsi="宋体"/>
          <w:kern w:val="2"/>
          <w:sz w:val="24"/>
          <w:szCs w:val="24"/>
        </w:rPr>
      </w:pPr>
      <w:r>
        <w:rPr>
          <w:rFonts w:hint="eastAsia" w:ascii="宋体" w:hAnsi="宋体"/>
          <w:kern w:val="2"/>
          <w:sz w:val="24"/>
          <w:szCs w:val="24"/>
        </w:rPr>
        <w:t xml:space="preserve">5</w:t>
      </w:r>
      <w:r>
        <w:rPr>
          <w:rFonts w:ascii="宋体" w:hAnsi="宋体"/>
          <w:kern w:val="2"/>
          <w:sz w:val="24"/>
          <w:szCs w:val="24"/>
        </w:rPr>
        <w:t xml:space="preserve">.2.</w:t>
      </w:r>
      <w:r>
        <w:rPr>
          <w:rFonts w:hint="eastAsia" w:ascii="宋体" w:hAnsi="宋体"/>
          <w:kern w:val="2"/>
          <w:sz w:val="24"/>
          <w:szCs w:val="24"/>
        </w:rPr>
        <w:t xml:space="preserve">3个人所得税：能提供完善、准确凭证的，据实征收，按转让收入减除房产原值及合理税费的余额的</w:t>
      </w:r>
      <w:r>
        <w:rPr>
          <w:rFonts w:ascii="宋体" w:hAnsi="宋体"/>
          <w:kern w:val="2"/>
          <w:sz w:val="24"/>
          <w:szCs w:val="24"/>
        </w:rPr>
        <w:t xml:space="preserve">20%</w:t>
      </w:r>
      <w:r>
        <w:rPr>
          <w:rFonts w:hint="eastAsia" w:ascii="宋体" w:hAnsi="宋体"/>
          <w:kern w:val="2"/>
          <w:sz w:val="24"/>
          <w:szCs w:val="24"/>
        </w:rPr>
        <w:t xml:space="preserve">征收；否则，按转让收入</w:t>
      </w:r>
      <w:r>
        <w:rPr>
          <w:rFonts w:ascii="宋体" w:hAnsi="宋体"/>
          <w:kern w:val="2"/>
          <w:sz w:val="24"/>
          <w:szCs w:val="24"/>
        </w:rPr>
        <w:t xml:space="preserve">1% </w:t>
      </w:r>
      <w:r>
        <w:rPr>
          <w:rFonts w:hint="eastAsia" w:ascii="宋体" w:hAnsi="宋体"/>
          <w:kern w:val="2"/>
          <w:sz w:val="24"/>
          <w:szCs w:val="24"/>
        </w:rPr>
        <w:t xml:space="preserve">核定征收。个人转让自用</w:t>
      </w:r>
      <w:r>
        <w:rPr>
          <w:rFonts w:ascii="宋体" w:hAnsi="宋体"/>
          <w:kern w:val="2"/>
          <w:sz w:val="24"/>
          <w:szCs w:val="24"/>
        </w:rPr>
        <w:t xml:space="preserve">5</w:t>
      </w:r>
      <w:r>
        <w:rPr>
          <w:rFonts w:hint="eastAsia" w:ascii="宋体" w:hAnsi="宋体"/>
          <w:kern w:val="2"/>
          <w:sz w:val="24"/>
          <w:szCs w:val="24"/>
        </w:rPr>
        <w:t xml:space="preserve">年以上，并且是家庭唯一生活用房，取得的所得免征个人所得税。</w:t>
      </w:r>
    </w:p>
    <w:p>
      <w:pPr>
        <w:spacing w:line="480" w:lineRule="exact"/>
        <w:ind w:firstLine="482" w:firstLineChars="200"/>
        <w:jc w:val="both"/>
        <w:rPr>
          <w:rFonts w:ascii="宋体" w:hAnsi="宋体"/>
          <w:b/>
          <w:kern w:val="2"/>
          <w:sz w:val="24"/>
          <w:szCs w:val="24"/>
        </w:rPr>
      </w:pPr>
      <w:r>
        <w:rPr>
          <w:rFonts w:hint="eastAsia" w:ascii="宋体" w:hAnsi="宋体"/>
          <w:b/>
          <w:kern w:val="2"/>
          <w:sz w:val="24"/>
          <w:szCs w:val="24"/>
        </w:rPr>
        <w:t xml:space="preserve">6、住宅价格走势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龙祥花园住宅2025年3月挂牌均价14416元/平方米，较年初持平。待评估二手房住宅近8个月（2024年08月-2025年03月）挂牌均价波动幅度较小，价格维持在14416-15698元/平方米之间。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苏州市吴江区龙祥花园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F32050920240036271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F32050920240041532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s202410120023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s202407310249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吴江区松陵镇龙祥花园3幢105室小高层住宅标准房基准价格评估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东方海悦花园3幢502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山湖弘雅苑14幢305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富贵苑4幢101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运河湾花园17幢902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112.51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93.98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2025年03月06日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9421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9753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9577</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指数，吴江区2024年03月至2025年02月住宅月度价格指数表为：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1906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2025年02月06日</w:t>
            </w:r>
          </w:p>
        </w:tc>
        <w:tc>
          <w:tcPr>
            <w:tcW w:w="778" w:type="pct"/>
            <w:shd w:val="clear" w:color="auto" w:fill="FFFFFF"/>
            <w:vAlign w:val="center"/>
          </w:tcPr>
          <w:p>
            <w:pPr>
              <w:jc w:val="center"/>
            </w:pPr>
            <w:r>
              <w:rPr>
                <w:rFonts w:hint="eastAsia" w:ascii="宋体" w:hAnsi="宋体" w:cs="宋体"/>
              </w:rPr>
              <w:t xml:space="preserve">2024年08月</w:t>
            </w:r>
          </w:p>
        </w:tc>
        <w:tc>
          <w:tcPr>
            <w:tcW w:w="779" w:type="pct"/>
            <w:shd w:val="clear" w:color="auto" w:fill="FFFFFF"/>
            <w:vAlign w:val="center"/>
          </w:tcPr>
          <w:p>
            <w:pPr>
              <w:jc w:val="center"/>
            </w:pPr>
            <w:r>
              <w:rPr>
                <w:rFonts w:hint="eastAsia" w:ascii="宋体" w:hAnsi="宋体" w:cs="宋体"/>
              </w:rPr>
              <w:t xml:space="preserve">2024年09月</w:t>
            </w:r>
          </w:p>
        </w:tc>
        <w:tc>
          <w:tcPr>
            <w:tcW w:w="779" w:type="pct"/>
            <w:shd w:val="clear" w:color="auto" w:fill="FFFFFF"/>
            <w:vAlign w:val="center"/>
          </w:tcPr>
          <w:p>
            <w:pPr>
              <w:jc w:val="center"/>
            </w:pPr>
            <w:r>
              <w:rPr>
                <w:rFonts w:hint="eastAsia" w:ascii="宋体" w:hAnsi="宋体" w:cs="宋体"/>
              </w:rPr>
              <w:t xml:space="preserve">2024年11月</w:t>
            </w:r>
          </w:p>
        </w:tc>
        <w:tc>
          <w:tcPr>
            <w:tcW w:w="779" w:type="pct"/>
            <w:shd w:val="clear" w:color="auto" w:fill="FFFFFF"/>
            <w:vAlign w:val="center"/>
          </w:tcPr>
          <w:p>
            <w:pPr>
              <w:jc w:val="center"/>
            </w:pPr>
            <w:r>
              <w:rPr>
                <w:rFonts w:hint="eastAsia" w:ascii="宋体" w:hAnsi="宋体" w:cs="宋体"/>
              </w:rPr>
              <w:t xml:space="preserve">2024年08月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9421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8814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9753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9577</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1906</w:t>
            </w:r>
          </w:p>
        </w:tc>
        <w:tc>
          <w:tcPr>
            <w:tcW w:w="778" w:type="pct"/>
            <w:shd w:val="clear" w:color="auto" w:fill="FFFFFF"/>
            <w:vAlign w:val="center"/>
          </w:tcPr>
          <w:p>
            <w:pPr>
              <w:jc w:val="center"/>
            </w:pPr>
            <w:r>
              <w:rPr>
                <w:rFonts w:hint="eastAsia" w:ascii="宋体" w:hAnsi="宋体" w:cs="宋体"/>
              </w:rPr>
              <w:t xml:space="preserve">1913</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1912</w:t>
            </w:r>
          </w:p>
        </w:tc>
        <w:tc>
          <w:tcPr>
            <w:tcW w:w="779" w:type="pct"/>
            <w:shd w:val="clear" w:color="auto" w:fill="FFFFFF"/>
            <w:vAlign w:val="center"/>
          </w:tcPr>
          <w:p>
            <w:pPr>
              <w:jc w:val="center"/>
            </w:pPr>
            <w:r>
              <w:rPr>
                <w:rFonts w:hint="eastAsia" w:ascii="宋体" w:hAnsi="宋体" w:cs="宋体"/>
              </w:rPr>
              <w:t xml:space="preserve">1913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1906/1906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1906/1913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0.9963</w:t>
            </w:r>
          </w:p>
        </w:tc>
        <w:tc>
          <w:tcPr>
            <w:tcW w:w="779" w:type="pct"/>
            <w:shd w:val="clear" w:color="auto" w:fill="FFFFFF"/>
            <w:vAlign w:val="center"/>
          </w:tcPr>
          <w:p>
            <w:pPr>
              <w:jc w:val="center"/>
            </w:pPr>
            <w:r>
              <w:rPr>
                <w:rFonts w:hint="eastAsia" w:ascii="宋体" w:hAnsi="宋体" w:cs="宋体"/>
              </w:rPr>
              <w:t xml:space="preserve">0.9871</w:t>
            </w:r>
          </w:p>
        </w:tc>
        <w:tc>
          <w:tcPr>
            <w:tcW w:w="779" w:type="pct"/>
            <w:shd w:val="clear" w:color="auto" w:fill="FFFFFF"/>
            <w:vAlign w:val="center"/>
          </w:tcPr>
          <w:p>
            <w:pPr>
              <w:jc w:val="center"/>
            </w:pPr>
            <w:r>
              <w:rPr>
                <w:rFonts w:hint="eastAsia" w:ascii="宋体" w:hAnsi="宋体" w:cs="宋体"/>
              </w:rPr>
              <w:t xml:space="preserve">0.9969</w:t>
            </w:r>
          </w:p>
        </w:tc>
        <w:tc>
          <w:tcPr>
            <w:tcW w:w="779" w:type="pct"/>
            <w:shd w:val="clear" w:color="auto" w:fill="FFFFFF"/>
            <w:vAlign w:val="center"/>
          </w:tcPr>
          <w:p>
            <w:pPr>
              <w:jc w:val="center"/>
            </w:pPr>
            <w:r>
              <w:rPr>
                <w:rFonts w:hint="eastAsia" w:ascii="宋体" w:hAnsi="宋体" w:cs="宋体"/>
              </w:rPr>
              <w:t xml:space="preserve">0.9963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备注：在价值时点2025年03月06日</w:t>
      </w:r>
      <w:r>
        <w:rPr>
          <w:rFonts w:hint="eastAsia" w:ascii="宋体" w:hAnsi="宋体" w:cs="宋体"/>
          <w:sz w:val="24"/>
          <w:szCs w:val="24"/>
        </w:rPr>
        <w:t xml:space="preserve">，2025年03月份价格指数尚未公布，本次估价采用2025年02月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4"/>
      <w:bookmarkStart w:name="_Toc352325665" w:id="15"/>
      <w:r>
        <w:rPr>
          <w:rFonts w:hint="eastAsia" w:ascii="宋体" w:hAnsi="宋体" w:cs="宋体"/>
          <w:b/>
          <w:sz w:val="21"/>
          <w:szCs w:val="21"/>
        </w:rPr>
        <w:t xml:space="preserve">（1）住宅房屋层次因素系数表</w:t>
      </w:r>
      <w:bookmarkEnd w:id="14"/>
      <w:bookmarkEnd w:id="15"/>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6"/>
      <w:bookmarkStart w:name="_Toc352325666" w:id="17"/>
      <w:r>
        <w:rPr>
          <w:rFonts w:hint="eastAsia" w:ascii="宋体" w:hAnsi="宋体" w:cs="宋体"/>
          <w:b/>
          <w:sz w:val="21"/>
          <w:szCs w:val="21"/>
        </w:rPr>
        <w:t xml:space="preserve">（2）住宅结构因素修正系数表</w:t>
      </w:r>
      <w:bookmarkEnd w:id="16"/>
      <w:bookmarkEnd w:id="17"/>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8"/>
            <w:bookmarkStart w:name="_Toc351596837" w:id="19"/>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8"/>
      <w:bookmarkEnd w:id="19"/>
    </w:p>
    <w:p>
      <w:pPr>
        <w:rPr>
          <w:vanish/>
          <w:sz w:val="21"/>
          <w:szCs w:val="21"/>
        </w:rPr>
      </w:pPr>
      <w:bookmarkStart w:name="_Toc352325668" w:id="20"/>
      <w:bookmarkStart w:name="_Toc351596838" w:id="21"/>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0"/>
      <w:bookmarkEnd w:id="21"/>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2"/>
            <w:bookmarkStart w:name="_Toc352325669" w:id="23"/>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880625662"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2"/>
      <w:bookmarkEnd w:id="23"/>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吴江区松陵镇龙祥花园3幢105室小高层住宅标准房基准价格评估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东方海悦花园3幢502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山湖弘雅苑14幢305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富贵苑4幢101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运河湾花园17幢902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89.31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112.51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9577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9267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9421</w:t>
            </w:r>
          </w:p>
        </w:tc>
        <w:tc>
          <w:tcPr>
            <w:tcW w:w="922" w:type="pct"/>
            <w:shd w:val="clear" w:color="auto" w:fill="auto"/>
            <w:vAlign w:val="center"/>
          </w:tcPr>
          <w:p>
            <w:pPr>
              <w:jc w:val="center"/>
              <w:rPr>
                <w:rFonts w:ascii="宋体" w:hAnsi="宋体" w:cs="宋体"/>
              </w:rPr>
            </w:pPr>
            <w:r>
              <w:rPr>
                <w:rFonts w:hint="eastAsia" w:ascii="宋体" w:hAnsi="宋体" w:cs="宋体"/>
              </w:rPr>
              <w:t xml:space="preserve">8814</w:t>
            </w:r>
          </w:p>
        </w:tc>
        <w:tc>
          <w:tcPr>
            <w:tcW w:w="922" w:type="pct"/>
            <w:shd w:val="clear" w:color="auto" w:fill="auto"/>
            <w:vAlign w:val="center"/>
          </w:tcPr>
          <w:p>
            <w:pPr>
              <w:jc w:val="center"/>
              <w:rPr>
                <w:rFonts w:ascii="宋体" w:hAnsi="宋体" w:cs="宋体"/>
              </w:rPr>
            </w:pPr>
            <w:r>
              <w:rPr>
                <w:rFonts w:hint="eastAsia" w:ascii="宋体" w:hAnsi="宋体" w:cs="宋体"/>
              </w:rPr>
              <w:t xml:space="preserve">9753</w:t>
            </w:r>
          </w:p>
        </w:tc>
        <w:tc>
          <w:tcPr>
            <w:tcW w:w="922" w:type="pct"/>
            <w:shd w:val="clear" w:color="auto" w:fill="auto"/>
            <w:vAlign w:val="center"/>
          </w:tcPr>
          <w:p>
            <w:pPr>
              <w:jc w:val="center"/>
              <w:rPr>
                <w:rFonts w:ascii="宋体" w:hAnsi="宋体" w:cs="宋体"/>
              </w:rPr>
            </w:pPr>
            <w:r>
              <w:rPr>
                <w:rFonts w:hint="eastAsia" w:ascii="宋体" w:hAnsi="宋体" w:cs="宋体"/>
              </w:rPr>
              <w:t xml:space="preserve">9577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109.08/106.9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9390</w:t>
            </w:r>
          </w:p>
        </w:tc>
        <w:tc>
          <w:tcPr>
            <w:tcW w:w="922" w:type="pct"/>
            <w:shd w:val="clear" w:color="auto" w:fill="auto"/>
            <w:vAlign w:val="center"/>
          </w:tcPr>
          <w:p>
            <w:pPr>
              <w:jc w:val="center"/>
              <w:rPr>
                <w:rFonts w:ascii="宋体" w:hAnsi="宋体" w:cs="宋体"/>
              </w:rPr>
            </w:pPr>
            <w:r>
              <w:rPr>
                <w:rFonts w:hint="eastAsia" w:ascii="宋体" w:hAnsi="宋体" w:cs="宋体"/>
              </w:rPr>
              <w:t xml:space="preserve">8701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9921</w:t>
            </w:r>
          </w:p>
        </w:tc>
        <w:tc>
          <w:tcPr>
            <w:tcW w:w="922" w:type="pct"/>
            <w:shd w:val="clear" w:color="auto" w:fill="auto"/>
            <w:vAlign w:val="center"/>
          </w:tcPr>
          <w:p>
            <w:pPr>
              <w:jc w:val="center"/>
              <w:rPr>
                <w:rFonts w:ascii="宋体" w:hAnsi="宋体" w:cs="宋体"/>
              </w:rPr>
            </w:pPr>
            <w:r>
              <w:rPr>
                <w:rFonts w:hint="eastAsia" w:ascii="宋体" w:hAnsi="宋体" w:cs="宋体"/>
              </w:rPr>
              <w:t xml:space="preserve">9267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9390</w:t>
            </w:r>
          </w:p>
        </w:tc>
        <w:tc>
          <w:tcPr>
            <w:tcW w:w="922" w:type="pct"/>
            <w:shd w:val="clear" w:color="auto" w:fill="auto"/>
            <w:vAlign w:val="center"/>
          </w:tcPr>
          <w:p>
            <w:pPr>
              <w:jc w:val="center"/>
              <w:rPr>
                <w:rFonts w:ascii="宋体" w:hAnsi="宋体" w:cs="宋体"/>
              </w:rPr>
            </w:pPr>
            <w:r>
              <w:rPr>
                <w:rFonts w:hint="eastAsia" w:ascii="宋体" w:hAnsi="宋体" w:cs="宋体"/>
              </w:rPr>
              <w:t xml:space="preserve">8701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9921</w:t>
            </w:r>
          </w:p>
        </w:tc>
        <w:tc>
          <w:tcPr>
            <w:tcW w:w="922" w:type="pct"/>
            <w:shd w:val="clear" w:color="auto" w:fill="auto"/>
            <w:vAlign w:val="center"/>
          </w:tcPr>
          <w:p>
            <w:pPr>
              <w:jc w:val="center"/>
              <w:rPr>
                <w:rFonts w:ascii="宋体" w:hAnsi="宋体" w:cs="宋体"/>
              </w:rPr>
            </w:pPr>
            <w:r>
              <w:rPr>
                <w:rFonts w:hint="eastAsia" w:ascii="宋体" w:hAnsi="宋体" w:cs="宋体"/>
              </w:rPr>
              <w:t xml:space="preserve">9267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9320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4"/>
      <w:bookmarkStart w:name="_Toc32222395" w:id="25"/>
      <w:r>
        <w:rPr>
          <w:rFonts w:hint="eastAsia" w:ascii="黑体" w:eastAsia="黑体"/>
          <w:sz w:val="48"/>
        </w:rPr>
        <w:t xml:space="preserve">附    件</w:t>
      </w:r>
      <w:bookmarkEnd w:id="24"/>
      <w:bookmarkEnd w:id="25"/>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F32050920240036271</w:t>
            </w:r>
          </w:p>
        </w:tc>
        <w:tc>
          <w:tcPr>
            <w:tcW w:w="1842" w:type="dxa"/>
            <w:vAlign w:val="center"/>
          </w:tcPr>
          <w:p>
            <w:pPr>
              <w:jc w:val="center"/>
            </w:pPr>
            <w:r>
              <w:rPr>
                <w:rFonts w:hint="eastAsia" w:ascii="宋体" w:hAnsi="宋体" w:cs="宋体"/>
              </w:rPr>
              <w:t xml:space="preserve">F32050920240041532</w:t>
            </w:r>
          </w:p>
        </w:tc>
        <w:tc>
          <w:tcPr>
            <w:tcW w:w="1843" w:type="dxa"/>
            <w:vAlign w:val="center"/>
          </w:tcPr>
          <w:p>
            <w:pPr>
              <w:jc w:val="center"/>
            </w:pPr>
            <w:r>
              <w:rPr>
                <w:rFonts w:hint="eastAsia" w:ascii="宋体" w:hAnsi="宋体" w:cs="宋体"/>
              </w:rPr>
              <w:t xml:space="preserve">s202410120023</w:t>
            </w:r>
          </w:p>
        </w:tc>
        <w:tc>
          <w:tcPr>
            <w:tcW w:w="1985" w:type="dxa"/>
            <w:vAlign w:val="center"/>
          </w:tcPr>
          <w:p>
            <w:pPr>
              <w:jc w:val="center"/>
            </w:pPr>
            <w:r>
              <w:rPr>
                <w:rFonts w:hint="eastAsia" w:ascii="宋体" w:hAnsi="宋体" w:cs="宋体"/>
              </w:rPr>
              <w:t xml:space="preserve">s202407310249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东方海悦花园3幢502</w:t>
            </w:r>
          </w:p>
        </w:tc>
        <w:tc>
          <w:tcPr>
            <w:tcW w:w="1842" w:type="dxa"/>
            <w:vAlign w:val="center"/>
          </w:tcPr>
          <w:p>
            <w:pPr>
              <w:jc w:val="center"/>
            </w:pPr>
            <w:r>
              <w:rPr>
                <w:rFonts w:hint="eastAsia" w:ascii="宋体" w:hAnsi="宋体" w:cs="宋体"/>
              </w:rPr>
              <w:t xml:space="preserve">山湖弘雅苑14幢305</w:t>
            </w:r>
          </w:p>
        </w:tc>
        <w:tc>
          <w:tcPr>
            <w:tcW w:w="1843" w:type="dxa"/>
            <w:vAlign w:val="center"/>
          </w:tcPr>
          <w:p>
            <w:pPr>
              <w:jc w:val="center"/>
            </w:pPr>
            <w:r>
              <w:rPr>
                <w:rFonts w:hint="eastAsia" w:ascii="宋体" w:hAnsi="宋体" w:cs="宋体"/>
              </w:rPr>
              <w:t xml:space="preserve">富贵苑4幢101</w:t>
            </w:r>
          </w:p>
        </w:tc>
        <w:tc>
          <w:tcPr>
            <w:tcW w:w="1985" w:type="dxa"/>
            <w:vAlign w:val="center"/>
          </w:tcPr>
          <w:p>
            <w:pPr>
              <w:jc w:val="center"/>
            </w:pPr>
            <w:r>
              <w:rPr>
                <w:rFonts w:hint="eastAsia" w:ascii="宋体" w:hAnsi="宋体" w:cs="宋体"/>
              </w:rPr>
              <w:t xml:space="preserve">运河湾花园17幢902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东方海悦花园3幢502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山湖弘雅苑14幢305</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富贵苑4幢101</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运河湾花园17幢902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Baskerville Old Face">
    <w:panose1 w:val="02020602080505020303"/>
    <w:charset w:val="00"/>
    <w:family w:val="Auto"/>
    <w:pitch w:val="default"/>
    <w:sig w:usb0="00000003" w:usb1="00000000" w:usb2="00000000" w:usb3="00000000" w:csb0="2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MS Gothic">
    <w:panose1 w:val="020B0609070205080204"/>
    <w:charset w:val="80"/>
    <w:family w:val="Auto"/>
    <w:pitch w:val="default"/>
    <w:sig w:usb0="E00002FF" w:usb1="6AC7FDFB" w:usb2="08000012" w:usb3="00000000" w:csb0="4002009F" w:csb1="DFD7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3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2025-03-03T02:48:13Z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9122</Words>
  <Characters>11049</Characters>
  <Lines>158</Lines>
  <Paragraphs>44</Paragraphs>
  <TotalTime>0</TotalTime>
  <ScaleCrop>false</ScaleCrop>
  <LinksUpToDate>false</LinksUpToDate>
  <CharactersWithSpaces>11441</CharactersWithSpaces>
  <Application>WPS Office_12.1.0.20305_F1E327BC-269C-435d-A152-05C5408002CA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9122</Words>
  <Characters>11049</Characters>
  <Application>WPS Office_12.1.0.20305_F1E327BC-269C-435d-A152-05C5408002CA</Application>
  <DocSecurity>0</DocSecurity>
  <Lines>158</Lines>
  <Paragraphs>44</Paragraphs>
  <Company>Www.RePaiK.Com</Company>
  <CharactersWithSpaces>11441</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2025-03-03T02:48:13Z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2052-12.1.0.20305</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