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苏吴地评评估字(2023)吴江第01024号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苏州市吴江区松陵镇</w:t>
      </w:r>
      <w:r>
        <w:rPr>
          <w:rFonts w:ascii="宋体" w:hAnsi="宋体" w:eastAsia="宋体" w:asciiTheme="minorEastAsia" w:hAnsiTheme="minorEastAsia" w:eastAsiaTheme="minorEastAsia"/>
          <w:sz w:val="24"/>
          <w:szCs w:val="24"/>
        </w:rPr>
        <w:t xml:space="preserve">联杨新村南区普通多层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国家注册房地产估价师：钟原</w:t>
      </w:r>
      <w:r>
        <w:rPr>
          <w:rFonts w:hint="eastAsia" w:ascii="宋体" w:hAnsi="宋体"/>
          <w:sz w:val="24"/>
          <w:szCs w:val="24"/>
        </w:rPr>
        <w:t xml:space="preserve">、注册证号：</w:t>
      </w:r>
      <w:r>
        <w:rPr>
          <w:rFonts w:ascii="宋体" w:hAnsi="宋体"/>
          <w:sz w:val="24"/>
          <w:szCs w:val="24"/>
        </w:rPr>
        <w:t xml:space="preserve">3220150055</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国家注册房地产估价师：林琳</w:t>
      </w:r>
      <w:r>
        <w:rPr>
          <w:rFonts w:hint="eastAsia" w:ascii="宋体" w:hAnsi="宋体"/>
          <w:sz w:val="24"/>
          <w:szCs w:val="24"/>
        </w:rPr>
        <w:t xml:space="preserve">、注册证号：</w:t>
      </w:r>
      <w:r>
        <w:rPr>
          <w:rFonts w:ascii="宋体" w:hAnsi="宋体"/>
          <w:sz w:val="24"/>
          <w:szCs w:val="24"/>
        </w:rPr>
        <w:t xml:space="preserve">3220160029</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2023年11月30日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估价对象位于苏州市吴江区区域范围内的联杨新村南区住宅小区普通多层存量房。该小区内的物业类型包括：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月修订版），结合估价人员现场查勘，选取联杨新村南区</w:t>
      </w:r>
      <w:r>
        <w:rPr>
          <w:rFonts w:ascii="宋体"/>
          <w:sz w:val="24"/>
        </w:rPr>
        <w:t xml:space="preserve">3幢102室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6</w:t>
      </w:r>
      <w:r>
        <w:rPr>
          <w:rFonts w:hint="eastAsia" w:ascii="宋体"/>
          <w:sz w:val="24"/>
        </w:rPr>
        <w:t xml:space="preserve">层，建筑面积</w:t>
      </w:r>
      <w:r>
        <w:rPr>
          <w:rFonts w:ascii="宋体"/>
          <w:sz w:val="24"/>
        </w:rPr>
        <w:t xml:space="preserve">103.21</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2008</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2023年11月23日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2023年11月23日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壹万贰仟柒佰叁拾元整</w:t>
      </w:r>
      <w:r>
        <w:rPr>
          <w:rFonts w:hint="eastAsia" w:ascii="宋体" w:hAnsi="宋体"/>
          <w:b/>
          <w:bCs/>
          <w:sz w:val="24"/>
        </w:rPr>
        <w:t xml:space="preserve">（RMB</w:t>
      </w:r>
      <w:r>
        <w:rPr>
          <w:rFonts w:ascii="宋体" w:hAnsi="宋体"/>
          <w:b/>
          <w:bCs/>
          <w:sz w:val="24"/>
        </w:rPr>
        <w:t xml:space="preserve"> 12730</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2023年11月30日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2023年11月30日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32222391" w:id="2"/>
      <w:bookmarkStart w:name="_Toc532675903"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pStyle w:val="Heading1"/>
        <w:jc w:val="center"/>
        <w:rPr>
          <w:rFonts w:eastAsia="黑体"/>
          <w:bCs w:val="0"/>
        </w:rPr>
      </w:pPr>
      <w:bookmarkStart w:name="_Toc32222392" w:id="4"/>
      <w:bookmarkStart w:name="_Toc532675904"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5.本报告作为整体使用时有效。若房地产市场无重大波动，本估价报告自出具日起一年内有效，从2023年11月30日至</w:t>
      </w:r>
      <w:r>
        <w:rPr>
          <w:rFonts w:ascii="宋体" w:hAnsi="宋体"/>
          <w:sz w:val="24"/>
        </w:rPr>
        <w:t xml:space="preserve">2024年11月29日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估价对象为联杨新村南区</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的“联杨新村南区”住宅区内。</w:t>
      </w:r>
      <w:r>
        <w:rPr>
          <w:rFonts w:hint="eastAsia" w:ascii="宋体" w:hAnsi="宋体"/>
          <w:sz w:val="24"/>
        </w:rPr>
        <w:t xml:space="preserve">估价对象东至</w:t>
      </w:r>
      <w:r>
        <w:rPr>
          <w:rFonts w:ascii="宋体" w:hAnsi="宋体"/>
          <w:sz w:val="24"/>
          <w:szCs w:val="24"/>
        </w:rPr>
        <w:t xml:space="preserve">鲈乡南路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江村路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苏州河路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庞杨路</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103.21</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鲈乡南路西侧</w:t>
      </w:r>
      <w:r>
        <w:rPr>
          <w:rFonts w:hint="eastAsia" w:hAnsi="宋体"/>
          <w:sz w:val="24"/>
        </w:rPr>
        <w:t xml:space="preserve">的“联杨新村南区”住宅区内。该小区内的物业类型包括：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联杨新村南区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“联杨新村南区”小区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由于联杨新村南区市场交易不活跃，片区内可选案例较少，因此选择的案例A，B，C，D，距离在3公里以外。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联杨新村南区住宅2023年11月挂牌均价15574元/平方米，较年初持平。待评估二手房住宅近11个月（2023年01月-2023年11月）挂牌均价波动幅度较小，价格维持在15574-20273元/平方米之间。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均价说明：联杨新村南区小区物业类型包括：普通多层,房源均价为:15574元/平方米，包含毛坯价值以及附带装修价值。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该房屋为6层住宅楼的第1层，建于2008年，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103.21</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2023年11月23日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hint="default"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壹万贰仟柒佰叁拾元整</w:t>
      </w:r>
      <w:r>
        <w:rPr>
          <w:rFonts w:hint="eastAsia" w:ascii="宋体" w:hAnsi="宋体"/>
          <w:b/>
          <w:bCs/>
          <w:sz w:val="24"/>
        </w:rPr>
        <w:t xml:space="preserve">（RMB </w:t>
      </w:r>
      <w:r>
        <w:rPr>
          <w:rFonts w:ascii="宋体" w:hAnsi="宋体"/>
          <w:b/>
          <w:bCs/>
          <w:sz w:val="24"/>
        </w:rPr>
        <w:t xml:space="preserve">12730</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131.38</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12730</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钟原</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3220150055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2023年11月30日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林琳</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3220160029</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2023年11月30日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本次实地查勘期为2023年11月23日，并于当日完成现场查勘。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2023年11月23日</w:t>
      </w:r>
      <w:r>
        <w:rPr>
          <w:rFonts w:hint="eastAsia" w:ascii="宋体"/>
          <w:sz w:val="24"/>
        </w:rPr>
        <w:t xml:space="preserve">至2023年11月30日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估价对象为苏州市吴江区“联杨新村南区”住宅区内的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hint="default" w:ascii="宋体" w:hAnsi="宋体"/>
          <w:sz w:val="24"/>
        </w:rPr>
        <w:t xml:space="preserve">位于</w:t>
      </w:r>
      <w:r>
        <w:rPr>
          <w:rFonts w:ascii="宋体" w:hAnsi="宋体"/>
          <w:sz w:val="24"/>
        </w:rPr>
        <w:t xml:space="preserve">苏州河路东侧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苏州河路东侧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附近有710路、737路、776路等多条公交线路</w:t>
      </w:r>
      <w:r>
        <w:rPr>
          <w:rFonts w:hint="eastAsia" w:hAnsi="宋体"/>
          <w:sz w:val="24"/>
        </w:rPr>
        <w:t xml:space="preserve">，</w:t>
      </w:r>
      <w:r>
        <w:rPr>
          <w:rFonts w:hAnsi="宋体"/>
          <w:sz w:val="24"/>
        </w:rPr>
        <w:t xml:space="preserve">至公交站点的距离约为100米，公交班次平均隔10分钟有一辆汽车通过。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大润发（万宝财富商业广场店）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苏州银行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联杨农贸市场</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思贤幼儿园</w:t>
      </w:r>
      <w:r>
        <w:rPr>
          <w:rFonts w:hint="eastAsia" w:ascii="宋体" w:hAnsi="宋体" w:eastAsia="宋体" w:asciiTheme="minorEastAsia" w:hAnsiTheme="minorEastAsia" w:eastAsiaTheme="minorEastAsia"/>
          <w:sz w:val="24"/>
        </w:rPr>
        <w:t xml:space="preserve">、</w:t>
      </w:r>
      <w:r>
        <w:rPr>
          <w:rFonts w:hAnsi="宋体"/>
          <w:sz w:val="24"/>
        </w:rPr>
        <w:t xml:space="preserve">思贤实验小学</w:t>
      </w:r>
      <w:r>
        <w:rPr>
          <w:rFonts w:hint="eastAsia" w:hAnsi="宋体"/>
          <w:sz w:val="24"/>
        </w:rPr>
        <w:t xml:space="preserve">、</w:t>
      </w:r>
      <w:r>
        <w:rPr>
          <w:rFonts w:hAnsi="宋体"/>
          <w:sz w:val="24"/>
        </w:rPr>
        <w:t xml:space="preserve">江苏省震泽中学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bookmarkStart w:name="_GoBack" w:id="10"/>
      <w:bookmarkEnd w:id="10"/>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鲈乡南路</w:t>
      </w:r>
      <w:r>
        <w:rPr>
          <w:rFonts w:hint="eastAsia" w:ascii="宋体" w:hAnsi="宋体"/>
          <w:sz w:val="24"/>
        </w:rPr>
        <w:t xml:space="preserve">，南至</w:t>
      </w:r>
      <w:r>
        <w:rPr>
          <w:rFonts w:ascii="宋体" w:hAnsi="宋体"/>
          <w:sz w:val="24"/>
        </w:rPr>
        <w:t xml:space="preserve">江村路</w:t>
      </w:r>
      <w:r>
        <w:rPr>
          <w:rFonts w:hint="eastAsia" w:ascii="宋体" w:hAnsi="宋体"/>
          <w:sz w:val="24"/>
        </w:rPr>
        <w:t xml:space="preserve">，西至</w:t>
      </w:r>
      <w:r>
        <w:rPr>
          <w:rFonts w:ascii="宋体" w:hAnsi="宋体"/>
          <w:sz w:val="24"/>
        </w:rPr>
        <w:t xml:space="preserve">苏州河路</w:t>
      </w:r>
      <w:r>
        <w:rPr>
          <w:rFonts w:hint="eastAsia" w:ascii="宋体" w:hAnsi="宋体"/>
          <w:sz w:val="24"/>
        </w:rPr>
        <w:t xml:space="preserve">，北至</w:t>
      </w:r>
      <w:r>
        <w:rPr>
          <w:rFonts w:ascii="宋体" w:hAnsi="宋体"/>
          <w:sz w:val="24"/>
        </w:rPr>
        <w:t xml:space="preserve">庞杨路</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估价对象为坐落于苏州市吴江区联杨新村南区</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103.21</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3层数、层高：估价对象位于总楼层为6层的第1层，层高约2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全封闭式物业管理，24小时有保安巡逻及监控系统</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估价对象建成于2008年，基础较为稳固，未见沉降；墙面、地面、门窗等保养完好，综合保养成新度为</w:t>
      </w:r>
      <w:r>
        <w:rPr>
          <w:rFonts w:hAnsi="宋体"/>
          <w:sz w:val="24"/>
        </w:rPr>
        <w:t xml:space="preserve">八五成新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widowControl w:val="0"/>
        <w:snapToGrid w:val="0"/>
        <w:spacing w:line="480" w:lineRule="exact"/>
        <w:ind w:left="560"/>
        <w:jc w:val="both"/>
        <w:rPr>
          <w:rFonts w:ascii="宋体" w:hAnsi="宋体"/>
          <w:sz w:val="24"/>
          <w:szCs w:val="24"/>
        </w:rPr>
      </w:pPr>
      <w:r>
        <w:rPr>
          <w:rFonts w:ascii="宋体" w:hAnsi="宋体"/>
          <w:sz w:val="24"/>
          <w:szCs w:val="24"/>
        </w:rPr>
        <w:t xml:space="preserve">1.1</w:t>
      </w:r>
      <w:r>
        <w:rPr>
          <w:rFonts w:hint="eastAsia" w:ascii="宋体" w:hAnsi="宋体"/>
          <w:sz w:val="24"/>
          <w:szCs w:val="24"/>
        </w:rPr>
        <w:t xml:space="preserve">吴江区经济结构</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吴江区近5年来实现地区生产总值收入情况进行了数据分析，具体详见下表：</w:t>
      </w:r>
    </w:p>
    <w:p>
      <w:pPr>
        <w:pStyle w:val="Caption"/>
        <w:spacing w:before="156" w:beforeLines="50" w:after="156" w:afterLines="50" w:line="480" w:lineRule="exact"/>
        <w:jc w:val="center"/>
        <w:rPr>
          <w:rFonts w:ascii="Times New Roman" w:hAnsi="Times New Roman" w:eastAsia="仿宋_GB2312"/>
          <w:b/>
          <w:bCs/>
          <w:sz w:val="28"/>
          <w:szCs w:val="28"/>
        </w:rPr>
      </w:pPr>
      <w:r>
        <w:rPr>
          <w:rFonts w:ascii="Times New Roman" w:hAnsi="Times New Roman" w:eastAsia="仿宋_GB2312"/>
          <w:b/>
          <w:bCs/>
          <w:sz w:val="28"/>
          <w:szCs w:val="28"/>
        </w:rPr>
        <w:t xml:space="preserve">表1 吴江区实现地区生产总值分析表</w:t>
      </w:r>
    </w:p>
    <w:tbl>
      <w:tblPr>
        <w:tblStyle w:val="NormalTable"/>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2952"/>
        <w:gridCol w:w="1210"/>
        <w:gridCol w:w="1077"/>
        <w:gridCol w:w="1077"/>
        <w:gridCol w:w="1077"/>
        <w:gridCol w:w="1129"/>
      </w:tblGrid>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blHeader/>
        </w:trPr>
        <w:tc>
          <w:tcPr>
            <w:tcW w:w="1732" w:type="pct"/>
            <w:vAlign w:val="center"/>
          </w:tcPr>
          <w:p>
            <w:pPr>
              <w:spacing w:line="240" w:lineRule="atLeast"/>
              <w:jc w:val="center"/>
              <w:rPr>
                <w:b/>
                <w:bCs/>
                <w:sz w:val="21"/>
                <w:szCs w:val="21"/>
              </w:rPr>
            </w:pPr>
            <w:r>
              <w:rPr>
                <w:b/>
                <w:bCs/>
                <w:sz w:val="21"/>
                <w:szCs w:val="21"/>
              </w:rPr>
              <w:t xml:space="preserve">类别</w:t>
            </w:r>
          </w:p>
        </w:tc>
        <w:tc>
          <w:tcPr>
            <w:tcW w:w="710" w:type="pct"/>
            <w:vAlign w:val="center"/>
          </w:tcPr>
          <w:p>
            <w:pPr>
              <w:spacing w:line="240" w:lineRule="atLeast"/>
              <w:jc w:val="center"/>
              <w:rPr>
                <w:b/>
                <w:bCs/>
                <w:sz w:val="21"/>
                <w:szCs w:val="21"/>
              </w:rPr>
            </w:pPr>
            <w:r>
              <w:rPr>
                <w:b/>
                <w:bCs/>
                <w:sz w:val="21"/>
                <w:szCs w:val="21"/>
              </w:rPr>
              <w:t xml:space="preserve">2018年</w:t>
            </w:r>
          </w:p>
        </w:tc>
        <w:tc>
          <w:tcPr>
            <w:tcW w:w="632" w:type="pct"/>
            <w:vAlign w:val="center"/>
          </w:tcPr>
          <w:p>
            <w:pPr>
              <w:spacing w:line="240" w:lineRule="atLeast"/>
              <w:jc w:val="center"/>
              <w:rPr>
                <w:b/>
                <w:bCs/>
                <w:sz w:val="21"/>
                <w:szCs w:val="21"/>
              </w:rPr>
            </w:pPr>
            <w:r>
              <w:rPr>
                <w:b/>
                <w:bCs/>
                <w:sz w:val="21"/>
                <w:szCs w:val="21"/>
              </w:rPr>
              <w:t xml:space="preserve">2019年</w:t>
            </w:r>
          </w:p>
        </w:tc>
        <w:tc>
          <w:tcPr>
            <w:tcW w:w="632" w:type="pct"/>
            <w:vAlign w:val="center"/>
          </w:tcPr>
          <w:p>
            <w:pPr>
              <w:spacing w:line="240" w:lineRule="atLeast"/>
              <w:jc w:val="center"/>
              <w:rPr>
                <w:b/>
                <w:bCs/>
                <w:sz w:val="21"/>
                <w:szCs w:val="21"/>
              </w:rPr>
            </w:pPr>
            <w:r>
              <w:rPr>
                <w:b/>
                <w:bCs/>
                <w:sz w:val="21"/>
                <w:szCs w:val="21"/>
              </w:rPr>
              <w:t xml:space="preserve">2020年</w:t>
            </w:r>
          </w:p>
        </w:tc>
        <w:tc>
          <w:tcPr>
            <w:tcW w:w="632" w:type="pct"/>
            <w:vAlign w:val="center"/>
          </w:tcPr>
          <w:p>
            <w:pPr>
              <w:spacing w:line="240" w:lineRule="atLeast"/>
              <w:jc w:val="center"/>
              <w:rPr>
                <w:b/>
                <w:bCs/>
                <w:sz w:val="21"/>
                <w:szCs w:val="21"/>
              </w:rPr>
            </w:pPr>
            <w:r>
              <w:rPr>
                <w:b/>
                <w:bCs/>
                <w:sz w:val="21"/>
                <w:szCs w:val="21"/>
              </w:rPr>
              <w:t xml:space="preserve">2021年</w:t>
            </w:r>
          </w:p>
        </w:tc>
        <w:tc>
          <w:tcPr>
            <w:tcW w:w="662" w:type="pct"/>
            <w:vAlign w:val="center"/>
          </w:tcPr>
          <w:p>
            <w:pPr>
              <w:spacing w:line="240" w:lineRule="atLeast"/>
              <w:jc w:val="center"/>
              <w:rPr>
                <w:b/>
                <w:bCs/>
                <w:sz w:val="21"/>
                <w:szCs w:val="21"/>
              </w:rPr>
            </w:pPr>
            <w:r>
              <w:rPr>
                <w:b/>
                <w:bCs/>
                <w:sz w:val="21"/>
                <w:szCs w:val="21"/>
              </w:rPr>
              <w:t xml:space="preserve">2022年</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全区实现地区生产总值（亿元）</w:t>
            </w:r>
          </w:p>
        </w:tc>
        <w:tc>
          <w:tcPr>
            <w:tcW w:w="710" w:type="pct"/>
            <w:vAlign w:val="center"/>
          </w:tcPr>
          <w:p>
            <w:pPr>
              <w:spacing w:line="240" w:lineRule="atLeast"/>
              <w:jc w:val="center"/>
              <w:rPr>
                <w:bCs/>
                <w:sz w:val="21"/>
                <w:szCs w:val="21"/>
              </w:rPr>
            </w:pPr>
            <w:r>
              <w:rPr>
                <w:bCs/>
                <w:sz w:val="21"/>
                <w:szCs w:val="21"/>
              </w:rPr>
              <w:t xml:space="preserve">1925.03</w:t>
            </w:r>
          </w:p>
        </w:tc>
        <w:tc>
          <w:tcPr>
            <w:tcW w:w="632" w:type="pct"/>
            <w:vAlign w:val="center"/>
          </w:tcPr>
          <w:p>
            <w:pPr>
              <w:spacing w:line="240" w:lineRule="atLeast"/>
              <w:jc w:val="center"/>
              <w:rPr>
                <w:bCs/>
                <w:sz w:val="21"/>
                <w:szCs w:val="21"/>
              </w:rPr>
            </w:pPr>
            <w:r>
              <w:rPr>
                <w:bCs/>
                <w:sz w:val="21"/>
                <w:szCs w:val="21"/>
              </w:rPr>
              <w:t xml:space="preserve">1958.16</w:t>
            </w:r>
          </w:p>
        </w:tc>
        <w:tc>
          <w:tcPr>
            <w:tcW w:w="632" w:type="pct"/>
            <w:vAlign w:val="center"/>
          </w:tcPr>
          <w:p>
            <w:pPr>
              <w:spacing w:line="240" w:lineRule="atLeast"/>
              <w:jc w:val="center"/>
              <w:rPr>
                <w:bCs/>
                <w:sz w:val="21"/>
                <w:szCs w:val="21"/>
              </w:rPr>
            </w:pPr>
            <w:r>
              <w:rPr>
                <w:bCs/>
                <w:sz w:val="21"/>
                <w:szCs w:val="21"/>
              </w:rPr>
              <w:t xml:space="preserve">2002.83</w:t>
            </w:r>
          </w:p>
        </w:tc>
        <w:tc>
          <w:tcPr>
            <w:tcW w:w="632" w:type="pct"/>
            <w:vAlign w:val="center"/>
          </w:tcPr>
          <w:p>
            <w:pPr>
              <w:spacing w:line="240" w:lineRule="atLeast"/>
              <w:jc w:val="center"/>
              <w:rPr>
                <w:bCs/>
                <w:sz w:val="21"/>
                <w:szCs w:val="21"/>
              </w:rPr>
            </w:pPr>
            <w:r>
              <w:rPr>
                <w:bCs/>
                <w:sz w:val="21"/>
                <w:szCs w:val="21"/>
              </w:rPr>
              <w:t xml:space="preserve">2224.53</w:t>
            </w:r>
          </w:p>
        </w:tc>
        <w:tc>
          <w:tcPr>
            <w:tcW w:w="662" w:type="pct"/>
            <w:vAlign w:val="center"/>
          </w:tcPr>
          <w:p>
            <w:pPr>
              <w:spacing w:line="240" w:lineRule="atLeast"/>
              <w:jc w:val="center"/>
              <w:rPr>
                <w:bCs/>
                <w:sz w:val="21"/>
                <w:szCs w:val="21"/>
              </w:rPr>
            </w:pPr>
            <w:r>
              <w:rPr>
                <w:bCs/>
                <w:sz w:val="21"/>
                <w:szCs w:val="21"/>
              </w:rPr>
              <w:t xml:space="preserve">2331.97</w:t>
            </w:r>
          </w:p>
        </w:tc>
      </w:tr>
      <w:tr>
        <w:tblPrEx>
          <w:tblW w:w="5000" w:type="pct"/>
          <w:tblInd w:w="118" w:type="dxa"/>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340"/>
        </w:trPr>
        <w:tc>
          <w:tcPr>
            <w:tcW w:w="1732" w:type="pct"/>
            <w:vAlign w:val="center"/>
          </w:tcPr>
          <w:p>
            <w:pPr>
              <w:spacing w:line="240" w:lineRule="atLeast"/>
              <w:jc w:val="center"/>
              <w:rPr>
                <w:bCs/>
                <w:sz w:val="21"/>
                <w:szCs w:val="21"/>
              </w:rPr>
            </w:pPr>
            <w:r>
              <w:rPr>
                <w:bCs/>
                <w:sz w:val="21"/>
                <w:szCs w:val="21"/>
              </w:rPr>
              <w:t xml:space="preserve">比上年同期增长率（%）</w:t>
            </w:r>
          </w:p>
        </w:tc>
        <w:tc>
          <w:tcPr>
            <w:tcW w:w="710" w:type="pct"/>
            <w:vAlign w:val="center"/>
          </w:tcPr>
          <w:p>
            <w:pPr>
              <w:jc w:val="center"/>
              <w:rPr>
                <w:bCs/>
                <w:sz w:val="21"/>
                <w:szCs w:val="21"/>
              </w:rPr>
            </w:pPr>
            <w:r>
              <w:rPr>
                <w:bCs/>
                <w:sz w:val="21"/>
                <w:szCs w:val="21"/>
              </w:rPr>
              <w:t xml:space="preserve">7.0</w:t>
            </w:r>
          </w:p>
        </w:tc>
        <w:tc>
          <w:tcPr>
            <w:tcW w:w="632" w:type="pct"/>
            <w:vAlign w:val="center"/>
          </w:tcPr>
          <w:p>
            <w:pPr>
              <w:jc w:val="center"/>
              <w:rPr>
                <w:bCs/>
                <w:sz w:val="21"/>
                <w:szCs w:val="21"/>
              </w:rPr>
            </w:pPr>
            <w:r>
              <w:rPr>
                <w:bCs/>
                <w:sz w:val="21"/>
                <w:szCs w:val="21"/>
              </w:rPr>
              <w:t xml:space="preserve">5.7</w:t>
            </w:r>
          </w:p>
        </w:tc>
        <w:tc>
          <w:tcPr>
            <w:tcW w:w="632" w:type="pct"/>
            <w:vAlign w:val="center"/>
          </w:tcPr>
          <w:p>
            <w:pPr>
              <w:jc w:val="center"/>
              <w:rPr>
                <w:bCs/>
                <w:sz w:val="21"/>
                <w:szCs w:val="21"/>
              </w:rPr>
            </w:pPr>
            <w:r>
              <w:rPr>
                <w:bCs/>
                <w:sz w:val="21"/>
                <w:szCs w:val="21"/>
              </w:rPr>
              <w:t xml:space="preserve">0.6</w:t>
            </w:r>
          </w:p>
        </w:tc>
        <w:tc>
          <w:tcPr>
            <w:tcW w:w="632" w:type="pct"/>
            <w:vAlign w:val="center"/>
          </w:tcPr>
          <w:p>
            <w:pPr>
              <w:jc w:val="center"/>
              <w:rPr>
                <w:bCs/>
                <w:sz w:val="21"/>
                <w:szCs w:val="21"/>
              </w:rPr>
            </w:pPr>
            <w:r>
              <w:rPr>
                <w:bCs/>
                <w:sz w:val="21"/>
                <w:szCs w:val="21"/>
              </w:rPr>
              <w:t xml:space="preserve">8.0%</w:t>
            </w:r>
          </w:p>
        </w:tc>
        <w:tc>
          <w:tcPr>
            <w:tcW w:w="662" w:type="pct"/>
            <w:vAlign w:val="center"/>
          </w:tcPr>
          <w:p>
            <w:pPr>
              <w:jc w:val="center"/>
              <w:rPr>
                <w:bCs/>
                <w:sz w:val="21"/>
                <w:szCs w:val="21"/>
              </w:rPr>
            </w:pPr>
            <w:r>
              <w:rPr>
                <w:bCs/>
                <w:sz w:val="21"/>
                <w:szCs w:val="21"/>
              </w:rPr>
              <w:t xml:space="preserve">2.3%</w:t>
            </w:r>
          </w:p>
        </w:tc>
      </w:tr>
    </w:tbl>
    <w:p>
      <w:pPr>
        <w:snapToGrid w:val="0"/>
        <w:spacing w:line="480" w:lineRule="exact"/>
        <w:ind w:firstLine="480" w:firstLineChars="200"/>
        <w:rPr>
          <w:rFonts w:ascii="宋体" w:hAnsi="宋体"/>
          <w:sz w:val="24"/>
          <w:szCs w:val="24"/>
        </w:rPr>
      </w:pPr>
      <w:r>
        <w:rPr>
          <w:rFonts w:ascii="宋体" w:hAnsi="宋体"/>
          <w:sz w:val="24"/>
          <w:szCs w:val="24"/>
        </w:rPr>
        <w:t xml:space="preserve">2022年，吴江</w:t>
      </w:r>
      <w:r>
        <w:rPr>
          <w:rFonts w:hint="eastAsia" w:ascii="宋体" w:hAnsi="宋体"/>
          <w:sz w:val="24"/>
          <w:szCs w:val="24"/>
        </w:rPr>
        <w:t xml:space="preserve">地区</w:t>
      </w:r>
      <w:r>
        <w:rPr>
          <w:rFonts w:ascii="宋体" w:hAnsi="宋体"/>
          <w:sz w:val="24"/>
          <w:szCs w:val="24"/>
        </w:rPr>
        <w:t xml:space="preserve">生产总值增速相较2021年（增长率8%）降幅明显，但增速高于苏州全市平均水平。</w:t>
      </w:r>
    </w:p>
    <w:p>
      <w:pPr>
        <w:widowControl w:val="0"/>
        <w:snapToGrid w:val="0"/>
        <w:spacing w:line="480" w:lineRule="exact"/>
        <w:ind w:left="560"/>
        <w:jc w:val="both"/>
        <w:rPr>
          <w:rFonts w:ascii="宋体" w:hAnsi="宋体"/>
          <w:sz w:val="24"/>
          <w:szCs w:val="24"/>
        </w:rPr>
      </w:pPr>
      <w:r>
        <w:rPr>
          <w:rFonts w:ascii="宋体" w:hAnsi="宋体"/>
          <w:sz w:val="24"/>
          <w:szCs w:val="24"/>
        </w:rPr>
        <w:t xml:space="preserve">1.2</w:t>
      </w:r>
      <w:r>
        <w:rPr>
          <w:rFonts w:hint="eastAsia" w:ascii="宋体" w:hAnsi="宋体"/>
          <w:sz w:val="24"/>
          <w:szCs w:val="24"/>
        </w:rPr>
        <w:t xml:space="preserve">吴江区人均可支配收入</w:t>
      </w:r>
    </w:p>
    <w:p>
      <w:pPr>
        <w:widowControl w:val="0"/>
        <w:snapToGrid w:val="0"/>
        <w:spacing w:line="480" w:lineRule="exact"/>
        <w:ind w:firstLine="480" w:firstLineChars="200"/>
        <w:jc w:val="both"/>
        <w:rPr>
          <w:rFonts w:ascii="宋体" w:hAnsi="宋体"/>
          <w:sz w:val="24"/>
          <w:szCs w:val="24"/>
        </w:rPr>
      </w:pPr>
      <w:r>
        <w:rPr>
          <w:rFonts w:ascii="宋体" w:hAnsi="宋体"/>
          <w:sz w:val="24"/>
          <w:szCs w:val="24"/>
        </w:rPr>
        <w:t xml:space="preserve">2022年，吴江区城乡居民人均可支配收入增幅高于地区生产总值增幅。城乡居民人均可支配收入分别达7.95万元和4.34万元，增长3.6%和5.7%，收入差距进一步缩小。</w:t>
      </w:r>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全年新上市销售项目10个，共领取预售许可证49份，共预售15235套、172.25万平方米，同比下降22.67%。截止年末，全区共计在售34079套、320.43万平方米，其中住宅成交约15631套，建筑面积约180.1万平方米，成交金额约301.97亿元，成交均价约16766元/平方米，同比下降幅度分别为23.85%、23.77%、28.84%和6.65%。去化周期相对平稳，约为12.26个月。</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四大板块（东太湖度假区、吴江开发区、盛泽镇、黎里镇）合计成交面积达211.77万平方米，占全区总销售面积的91.29%。各板块销售情况冷热不均，东太湖度假区由于区位和配套等优势，销售面积高于其他板块占据第一，盛泽镇第二，吴江开发区第三，黎里镇第四，；乡镇板块中震泽镇销售面积第一，其次分别为平望镇、七都镇和桃源镇。另外，盛泽镇和平望镇销售面积中安置房占比超过1/4。</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2022年，吴江区从住宅销售户型分布情况来看，各面积户型销售占比总体稳定，小于90平方米的刚需户型和大于144平方米的大户型维持稳定，改善需求中90-120平方米户型占比接近一半，120-144平方米户型占比略有上升。</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pStyle w:val="列出段落"/>
        <w:widowControl w:val="0"/>
        <w:snapToGrid w:val="0"/>
        <w:spacing w:after="0" w:line="480" w:lineRule="exact"/>
        <w:ind w:left="48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3.1限购限售政策松绑</w:t>
      </w:r>
    </w:p>
    <w:p>
      <w:pPr>
        <w:snapToGrid w:val="0"/>
        <w:spacing w:line="480" w:lineRule="exact"/>
        <w:ind w:firstLine="480" w:firstLineChars="200"/>
        <w:rPr>
          <w:rFonts w:ascii="宋体" w:hAnsi="宋体"/>
          <w:sz w:val="24"/>
          <w:szCs w:val="24"/>
        </w:rPr>
      </w:pPr>
      <w:r>
        <w:rPr>
          <w:rFonts w:ascii="宋体" w:hAnsi="宋体"/>
          <w:sz w:val="24"/>
          <w:szCs w:val="24"/>
        </w:rPr>
        <w:t xml:space="preserve">2022年5月9日，苏州市新房限制转让由3年调整为2年，二手房不再限制转让年限。非户籍居民家庭购房条件由3年内累计缴纳24个月社保调整为连续缴纳6个月社保。</w:t>
      </w:r>
    </w:p>
    <w:p>
      <w:pPr>
        <w:snapToGrid w:val="0"/>
        <w:spacing w:line="480" w:lineRule="exact"/>
        <w:ind w:firstLine="480" w:firstLineChars="200"/>
        <w:rPr>
          <w:rFonts w:ascii="宋体" w:hAnsi="宋体"/>
          <w:sz w:val="24"/>
          <w:szCs w:val="24"/>
        </w:rPr>
      </w:pPr>
      <w:r>
        <w:rPr>
          <w:rFonts w:ascii="宋体" w:hAnsi="宋体"/>
          <w:sz w:val="24"/>
          <w:szCs w:val="24"/>
        </w:rPr>
        <w:t xml:space="preserve">2022年9月16日，苏州市规定，非苏州市本地户籍居民家庭无需提供社保缴纳证明或个人所得税证明，可直接在苏州市姑苏区、相城区、吴中区、高新区购买首套房。</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3.2公积金支持力度不断加大</w:t>
      </w:r>
    </w:p>
    <w:p>
      <w:pPr>
        <w:snapToGrid w:val="0"/>
        <w:spacing w:line="480" w:lineRule="exact"/>
        <w:ind w:firstLine="480" w:firstLineChars="200"/>
      </w:pPr>
      <w:r>
        <w:rPr>
          <w:rFonts w:ascii="宋体" w:hAnsi="宋体"/>
          <w:sz w:val="24"/>
          <w:szCs w:val="24"/>
        </w:rPr>
        <w:t xml:space="preserve">2022年4月21日起，苏州市住房公积金个人贷款额度由45万元提高到60万元，家庭由70万元提高到90万元。</w:t>
      </w:r>
    </w:p>
    <w:p>
      <w:pPr>
        <w:pStyle w:val="列出段落"/>
        <w:widowControl w:val="0"/>
        <w:snapToGrid w:val="0"/>
        <w:spacing w:after="0" w:line="480" w:lineRule="exact"/>
        <w:ind w:left="440" w:firstLine="0" w:firstLineChars="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3.3保障性租赁住房政策推进</w:t>
      </w:r>
    </w:p>
    <w:p>
      <w:pPr>
        <w:pStyle w:val="列出段落"/>
        <w:widowControl w:val="0"/>
        <w:snapToGrid w:val="0"/>
        <w:spacing w:after="0" w:line="480" w:lineRule="exact"/>
        <w:ind w:firstLine="480"/>
        <w:jc w:val="both"/>
        <w:rPr>
          <w:rFonts w:ascii="宋体" w:hAnsi="宋体" w:eastAsia="宋体" w:cs="Times New Roman"/>
          <w:color w:val="auto"/>
          <w:sz w:val="24"/>
          <w:szCs w:val="24"/>
        </w:rPr>
      </w:pPr>
      <w:r>
        <w:rPr>
          <w:rFonts w:ascii="宋体" w:hAnsi="宋体" w:eastAsia="宋体" w:cs="Times New Roman"/>
          <w:color w:val="auto"/>
          <w:sz w:val="24"/>
          <w:szCs w:val="24"/>
        </w:rPr>
        <w:t xml:space="preserve">2022年11月24日，苏州市住房和城乡建设局发布《苏州市发展保障性租赁住房实施办法》，对于保障性租赁住房在土地、财税、金融等方面给予政策支持。保障性租赁住房主要面向在苏州市无房的新市民、青年人等群体，不设收入线门槛。产业园区配套比例提升建设的保障性租赁住房优先保障产业园区内工人群体。</w:t>
      </w:r>
    </w:p>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ascii="宋体" w:hAnsi="宋体"/>
          <w:b/>
          <w:sz w:val="24"/>
        </w:rPr>
      </w:pPr>
      <w:r>
        <w:rPr>
          <w:rFonts w:ascii="宋体" w:hAnsi="宋体"/>
          <w:b/>
          <w:sz w:val="24"/>
        </w:rPr>
        <w:t xml:space="preserve">5</w:t>
      </w:r>
      <w:r>
        <w:rPr>
          <w:rFonts w:hint="eastAsia" w:ascii="宋体" w:hAnsi="宋体"/>
          <w:b/>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2023年第四季度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联杨新村南区住宅2023年11月挂牌均价15574元/平方米，较年初持平。待评估二手房住宅近11个月（2023年01月-2023年11月）挂牌均价波动幅度较小，价格维持在15574-20273元/平方米之间。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苏州市吴江区联杨新村南区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F32050920230001142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F32050920230000237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s202301030103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s202301044756</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吴江区松陵镇联杨新村南区3幢102室普通多层住宅标准房基准价格评估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美岸青城13幢104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吴越岭秀6幢205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九龙豪苑7幢504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香江花园8幢304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103.21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45.77</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73.03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3/5</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一间朝南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2009</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18</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00001</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一等（8）</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二等（11）</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二等（5.5）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二等（9）</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二等（13）</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2023年11月23日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2023年01月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12750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12682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12767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12752</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指数，吴江区2022年11月至2023年10月住宅月度价格指数表为：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2022年11月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2022年12月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2023年01月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2023年02月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1935</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1959</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2023年03月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2023年04月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2023年05月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2023年06月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2023年07月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2023年10月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2023年10月23日</w:t>
            </w:r>
          </w:p>
        </w:tc>
        <w:tc>
          <w:tcPr>
            <w:tcW w:w="778"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2023年02月</w:t>
            </w:r>
          </w:p>
        </w:tc>
        <w:tc>
          <w:tcPr>
            <w:tcW w:w="779" w:type="pct"/>
            <w:shd w:val="clear" w:color="auto" w:fill="FFFFFF"/>
            <w:vAlign w:val="center"/>
          </w:tcPr>
          <w:p>
            <w:pPr>
              <w:jc w:val="center"/>
            </w:pPr>
            <w:r>
              <w:rPr>
                <w:rFonts w:hint="eastAsia" w:ascii="宋体" w:hAnsi="宋体" w:cs="宋体"/>
              </w:rPr>
              <w:t xml:space="preserve">2023年01月</w:t>
            </w:r>
          </w:p>
        </w:tc>
        <w:tc>
          <w:tcPr>
            <w:tcW w:w="779" w:type="pct"/>
            <w:shd w:val="clear" w:color="auto" w:fill="FFFFFF"/>
            <w:vAlign w:val="center"/>
          </w:tcPr>
          <w:p>
            <w:pPr>
              <w:jc w:val="center"/>
            </w:pPr>
            <w:r>
              <w:rPr>
                <w:rFonts w:hint="eastAsia" w:ascii="宋体" w:hAnsi="宋体" w:cs="宋体"/>
              </w:rPr>
              <w:t xml:space="preserve">2023年01月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12750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12682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12767</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12752</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2046</w:t>
            </w:r>
          </w:p>
        </w:tc>
        <w:tc>
          <w:tcPr>
            <w:tcW w:w="778"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1973</w:t>
            </w:r>
          </w:p>
        </w:tc>
        <w:tc>
          <w:tcPr>
            <w:tcW w:w="779" w:type="pct"/>
            <w:shd w:val="clear" w:color="auto" w:fill="FFFFFF"/>
            <w:vAlign w:val="center"/>
          </w:tcPr>
          <w:p>
            <w:pPr>
              <w:jc w:val="center"/>
            </w:pPr>
            <w:r>
              <w:rPr>
                <w:rFonts w:hint="eastAsia" w:ascii="宋体" w:hAnsi="宋体" w:cs="宋体"/>
              </w:rPr>
              <w:t xml:space="preserve">1959</w:t>
            </w:r>
          </w:p>
        </w:tc>
        <w:tc>
          <w:tcPr>
            <w:tcW w:w="779" w:type="pct"/>
            <w:shd w:val="clear" w:color="auto" w:fill="FFFFFF"/>
            <w:vAlign w:val="center"/>
          </w:tcPr>
          <w:p>
            <w:pPr>
              <w:jc w:val="center"/>
            </w:pPr>
            <w:r>
              <w:rPr>
                <w:rFonts w:hint="eastAsia" w:ascii="宋体" w:hAnsi="宋体" w:cs="宋体"/>
              </w:rPr>
              <w:t xml:space="preserve">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2046/2046</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2046/1973</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2046/1959</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1.037</w:t>
            </w:r>
          </w:p>
        </w:tc>
        <w:tc>
          <w:tcPr>
            <w:tcW w:w="779" w:type="pct"/>
            <w:shd w:val="clear" w:color="auto" w:fill="FFFFFF"/>
            <w:vAlign w:val="center"/>
          </w:tcPr>
          <w:p>
            <w:pPr>
              <w:jc w:val="center"/>
            </w:pPr>
            <w:r>
              <w:rPr>
                <w:rFonts w:hint="eastAsia" w:ascii="宋体" w:hAnsi="宋体" w:cs="宋体"/>
              </w:rPr>
              <w:t xml:space="preserve">1.044</w:t>
            </w:r>
          </w:p>
        </w:tc>
        <w:tc>
          <w:tcPr>
            <w:tcW w:w="779" w:type="pct"/>
            <w:shd w:val="clear" w:color="auto" w:fill="FFFFFF"/>
            <w:vAlign w:val="center"/>
          </w:tcPr>
          <w:p>
            <w:pPr>
              <w:jc w:val="center"/>
            </w:pPr>
            <w:r>
              <w:rPr>
                <w:rFonts w:hint="eastAsia" w:ascii="宋体" w:hAnsi="宋体" w:cs="宋体"/>
              </w:rPr>
              <w:t xml:space="preserve">1.037</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备注：在价值时点2023年11月23日</w:t>
      </w:r>
      <w:r>
        <w:rPr>
          <w:rFonts w:hint="eastAsia" w:ascii="宋体" w:hAnsi="宋体" w:cs="宋体"/>
          <w:sz w:val="24"/>
          <w:szCs w:val="24"/>
        </w:rPr>
        <w:t xml:space="preserve">，2023年11月份价格指数尚未公布，本次估价采用2023年10月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1"/>
      <w:bookmarkStart w:name="_Toc352325665" w:id="12"/>
      <w:r>
        <w:rPr>
          <w:rFonts w:hint="eastAsia" w:ascii="宋体" w:hAnsi="宋体" w:cs="宋体"/>
          <w:b/>
          <w:sz w:val="21"/>
          <w:szCs w:val="21"/>
        </w:rPr>
        <w:t xml:space="preserve">（1）住宅房屋层次因素系数表</w:t>
      </w:r>
      <w:bookmarkEnd w:id="11"/>
      <w:bookmarkEnd w:id="12"/>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3"/>
      <w:bookmarkStart w:name="_Toc352325666" w:id="14"/>
      <w:r>
        <w:rPr>
          <w:rFonts w:hint="eastAsia" w:ascii="宋体" w:hAnsi="宋体" w:cs="宋体"/>
          <w:b/>
          <w:sz w:val="21"/>
          <w:szCs w:val="21"/>
        </w:rPr>
        <w:t xml:space="preserve">（2）住宅结构因素修正系数表</w:t>
      </w:r>
      <w:bookmarkEnd w:id="13"/>
      <w:bookmarkEnd w:id="14"/>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5"/>
            <w:bookmarkStart w:name="_Toc351596837" w:id="16"/>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5"/>
      <w:bookmarkEnd w:id="16"/>
    </w:p>
    <w:p>
      <w:pPr>
        <w:rPr>
          <w:vanish/>
          <w:sz w:val="21"/>
          <w:szCs w:val="21"/>
        </w:rPr>
      </w:pPr>
      <w:bookmarkStart w:name="_Toc352325668" w:id="17"/>
      <w:bookmarkStart w:name="_Toc351596838" w:id="18"/>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17"/>
      <w:bookmarkEnd w:id="18"/>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19"/>
            <w:bookmarkStart w:name="_Toc352325669" w:id="20"/>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142854040"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19"/>
      <w:bookmarkEnd w:id="20"/>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吴江区松陵镇联杨新村南区3幢102室普通多层住宅标准房基准价格评估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美岸青城13幢104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吴越岭秀6幢205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九龙豪苑7幢504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香江花园8幢304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103.21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45.77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94.62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73.03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102</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0.9852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21</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22</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100.5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0.9853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0.9663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1.037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1.0218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0.9825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0.9941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0.9989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12750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12767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12752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13028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12460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12692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12738</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12750</w:t>
            </w:r>
          </w:p>
        </w:tc>
        <w:tc>
          <w:tcPr>
            <w:tcW w:w="922" w:type="pct"/>
            <w:shd w:val="clear" w:color="auto" w:fill="auto"/>
            <w:vAlign w:val="center"/>
          </w:tcPr>
          <w:p>
            <w:pPr>
              <w:jc w:val="center"/>
              <w:rPr>
                <w:rFonts w:ascii="宋体" w:hAnsi="宋体" w:cs="宋体"/>
              </w:rPr>
            </w:pPr>
            <w:r>
              <w:rPr>
                <w:rFonts w:hint="eastAsia" w:ascii="宋体" w:hAnsi="宋体" w:cs="宋体"/>
              </w:rPr>
              <w:t xml:space="preserve">12682</w:t>
            </w:r>
          </w:p>
        </w:tc>
        <w:tc>
          <w:tcPr>
            <w:tcW w:w="922" w:type="pct"/>
            <w:shd w:val="clear" w:color="auto" w:fill="auto"/>
            <w:vAlign w:val="center"/>
          </w:tcPr>
          <w:p>
            <w:pPr>
              <w:jc w:val="center"/>
              <w:rPr>
                <w:rFonts w:ascii="宋体" w:hAnsi="宋体" w:cs="宋体"/>
              </w:rPr>
            </w:pPr>
            <w:r>
              <w:rPr>
                <w:rFonts w:hint="eastAsia" w:ascii="宋体" w:hAnsi="宋体" w:cs="宋体"/>
              </w:rPr>
              <w:t xml:space="preserve">12767</w:t>
            </w:r>
          </w:p>
        </w:tc>
        <w:tc>
          <w:tcPr>
            <w:tcW w:w="922" w:type="pct"/>
            <w:shd w:val="clear" w:color="auto" w:fill="auto"/>
            <w:vAlign w:val="center"/>
          </w:tcPr>
          <w:p>
            <w:pPr>
              <w:jc w:val="center"/>
              <w:rPr>
                <w:rFonts w:ascii="宋体" w:hAnsi="宋体" w:cs="宋体"/>
              </w:rPr>
            </w:pPr>
            <w:r>
              <w:rPr>
                <w:rFonts w:hint="eastAsia" w:ascii="宋体" w:hAnsi="宋体" w:cs="宋体"/>
              </w:rPr>
              <w:t xml:space="preserve">12752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1.037</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c>
          <w:tcPr>
            <w:tcW w:w="922" w:type="pct"/>
            <w:shd w:val="clear" w:color="auto" w:fill="auto"/>
            <w:vAlign w:val="center"/>
          </w:tcPr>
          <w:p>
            <w:pPr>
              <w:jc w:val="center"/>
              <w:rPr>
                <w:rFonts w:ascii="宋体" w:hAnsi="宋体" w:cs="宋体"/>
              </w:rPr>
            </w:pPr>
            <w:r>
              <w:rPr>
                <w:rFonts w:hint="eastAsia" w:ascii="宋体" w:hAnsi="宋体" w:cs="宋体"/>
              </w:rPr>
              <w:t xml:space="preserve">1.044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101/102.52</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101/102.01</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101/102</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100.5/102</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100.5/104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1.0218</w:t>
            </w:r>
          </w:p>
        </w:tc>
        <w:tc>
          <w:tcPr>
            <w:tcW w:w="922" w:type="pct"/>
            <w:shd w:val="clear" w:color="auto" w:fill="auto"/>
            <w:vAlign w:val="center"/>
          </w:tcPr>
          <w:p>
            <w:pPr>
              <w:jc w:val="center"/>
              <w:rPr>
                <w:rFonts w:ascii="宋体" w:hAnsi="宋体" w:cs="宋体"/>
              </w:rPr>
            </w:pPr>
            <w:r>
              <w:rPr>
                <w:rFonts w:hint="eastAsia" w:ascii="宋体" w:hAnsi="宋体" w:cs="宋体"/>
              </w:rPr>
              <w:t xml:space="preserve">0.9825</w:t>
            </w:r>
          </w:p>
        </w:tc>
        <w:tc>
          <w:tcPr>
            <w:tcW w:w="922" w:type="pct"/>
            <w:shd w:val="clear" w:color="auto" w:fill="auto"/>
            <w:vAlign w:val="center"/>
          </w:tcPr>
          <w:p>
            <w:pPr>
              <w:jc w:val="center"/>
              <w:rPr>
                <w:rFonts w:ascii="宋体" w:hAnsi="宋体" w:cs="宋体"/>
              </w:rPr>
            </w:pPr>
            <w:r>
              <w:rPr>
                <w:rFonts w:hint="eastAsia" w:ascii="宋体" w:hAnsi="宋体" w:cs="宋体"/>
              </w:rPr>
              <w:t xml:space="preserve">0.9941</w:t>
            </w:r>
          </w:p>
        </w:tc>
        <w:tc>
          <w:tcPr>
            <w:tcW w:w="922" w:type="pct"/>
            <w:shd w:val="clear" w:color="auto" w:fill="auto"/>
            <w:vAlign w:val="center"/>
          </w:tcPr>
          <w:p>
            <w:pPr>
              <w:jc w:val="center"/>
              <w:rPr>
                <w:rFonts w:ascii="宋体" w:hAnsi="宋体" w:cs="宋体"/>
              </w:rPr>
            </w:pPr>
            <w:r>
              <w:rPr>
                <w:rFonts w:hint="eastAsia" w:ascii="宋体" w:hAnsi="宋体" w:cs="宋体"/>
              </w:rPr>
              <w:t xml:space="preserve">0.9989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13028</w:t>
            </w:r>
          </w:p>
        </w:tc>
        <w:tc>
          <w:tcPr>
            <w:tcW w:w="922" w:type="pct"/>
            <w:shd w:val="clear" w:color="auto" w:fill="auto"/>
            <w:vAlign w:val="center"/>
          </w:tcPr>
          <w:p>
            <w:pPr>
              <w:jc w:val="center"/>
              <w:rPr>
                <w:rFonts w:ascii="宋体" w:hAnsi="宋体" w:cs="宋体"/>
              </w:rPr>
            </w:pPr>
            <w:r>
              <w:rPr>
                <w:rFonts w:hint="eastAsia" w:ascii="宋体" w:hAnsi="宋体" w:cs="宋体"/>
              </w:rPr>
              <w:t xml:space="preserve">12460</w:t>
            </w:r>
          </w:p>
        </w:tc>
        <w:tc>
          <w:tcPr>
            <w:tcW w:w="922" w:type="pct"/>
            <w:shd w:val="clear" w:color="auto" w:fill="auto"/>
            <w:vAlign w:val="center"/>
          </w:tcPr>
          <w:p>
            <w:pPr>
              <w:jc w:val="center"/>
              <w:rPr>
                <w:rFonts w:ascii="宋体" w:hAnsi="宋体" w:cs="宋体"/>
              </w:rPr>
            </w:pPr>
            <w:r>
              <w:rPr>
                <w:rFonts w:hint="eastAsia" w:ascii="宋体" w:hAnsi="宋体" w:cs="宋体"/>
              </w:rPr>
              <w:t xml:space="preserve">12692</w:t>
            </w:r>
          </w:p>
        </w:tc>
        <w:tc>
          <w:tcPr>
            <w:tcW w:w="922" w:type="pct"/>
            <w:shd w:val="clear" w:color="auto" w:fill="auto"/>
            <w:vAlign w:val="center"/>
          </w:tcPr>
          <w:p>
            <w:pPr>
              <w:jc w:val="center"/>
              <w:rPr>
                <w:rFonts w:ascii="宋体" w:hAnsi="宋体" w:cs="宋体"/>
              </w:rPr>
            </w:pPr>
            <w:r>
              <w:rPr>
                <w:rFonts w:hint="eastAsia" w:ascii="宋体" w:hAnsi="宋体" w:cs="宋体"/>
              </w:rPr>
              <w:t xml:space="preserve">12738</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13028</w:t>
            </w:r>
          </w:p>
        </w:tc>
        <w:tc>
          <w:tcPr>
            <w:tcW w:w="922" w:type="pct"/>
            <w:shd w:val="clear" w:color="auto" w:fill="auto"/>
            <w:vAlign w:val="center"/>
          </w:tcPr>
          <w:p>
            <w:pPr>
              <w:jc w:val="center"/>
              <w:rPr>
                <w:rFonts w:ascii="宋体" w:hAnsi="宋体" w:cs="宋体"/>
              </w:rPr>
            </w:pPr>
            <w:r>
              <w:rPr>
                <w:rFonts w:hint="eastAsia" w:ascii="宋体" w:hAnsi="宋体" w:cs="宋体"/>
              </w:rPr>
              <w:t xml:space="preserve">12460</w:t>
            </w:r>
          </w:p>
        </w:tc>
        <w:tc>
          <w:tcPr>
            <w:tcW w:w="922" w:type="pct"/>
            <w:shd w:val="clear" w:color="auto" w:fill="auto"/>
            <w:vAlign w:val="center"/>
          </w:tcPr>
          <w:p>
            <w:pPr>
              <w:jc w:val="center"/>
              <w:rPr>
                <w:rFonts w:ascii="宋体" w:hAnsi="宋体" w:cs="宋体"/>
              </w:rPr>
            </w:pPr>
            <w:r>
              <w:rPr>
                <w:rFonts w:hint="eastAsia" w:ascii="宋体" w:hAnsi="宋体" w:cs="宋体"/>
              </w:rPr>
              <w:t xml:space="preserve">12692</w:t>
            </w:r>
          </w:p>
        </w:tc>
        <w:tc>
          <w:tcPr>
            <w:tcW w:w="922" w:type="pct"/>
            <w:shd w:val="clear" w:color="auto" w:fill="auto"/>
            <w:vAlign w:val="center"/>
          </w:tcPr>
          <w:p>
            <w:pPr>
              <w:jc w:val="center"/>
              <w:rPr>
                <w:rFonts w:ascii="宋体" w:hAnsi="宋体" w:cs="宋体"/>
              </w:rPr>
            </w:pPr>
            <w:r>
              <w:rPr>
                <w:rFonts w:hint="eastAsia" w:ascii="宋体" w:hAnsi="宋体" w:cs="宋体"/>
              </w:rPr>
              <w:t xml:space="preserve">12738</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12730</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1"/>
      <w:bookmarkStart w:name="_Toc32222395" w:id="22"/>
      <w:r>
        <w:rPr>
          <w:rFonts w:hint="eastAsia" w:ascii="黑体" w:eastAsia="黑体"/>
          <w:sz w:val="48"/>
        </w:rPr>
        <w:t xml:space="preserve">附    件</w:t>
      </w:r>
      <w:bookmarkEnd w:id="21"/>
      <w:bookmarkEnd w:id="22"/>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r>
        <w:rPr>
          <w:rFonts w:hint="eastAsia" w:ascii="宋体" w:hAnsi="宋体"/>
          <w:sz w:val="24"/>
        </w:rPr>
        <w:t xml:space="preserve">估价可比实例实体状况照片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F32050920230001142</w:t>
            </w:r>
          </w:p>
        </w:tc>
        <w:tc>
          <w:tcPr>
            <w:tcW w:w="1842" w:type="dxa"/>
            <w:vAlign w:val="center"/>
          </w:tcPr>
          <w:p>
            <w:pPr>
              <w:jc w:val="center"/>
            </w:pPr>
            <w:r>
              <w:rPr>
                <w:rFonts w:hint="eastAsia" w:ascii="宋体" w:hAnsi="宋体" w:cs="宋体"/>
              </w:rPr>
              <w:t xml:space="preserve">F32050920230000237</w:t>
            </w:r>
          </w:p>
        </w:tc>
        <w:tc>
          <w:tcPr>
            <w:tcW w:w="1843" w:type="dxa"/>
            <w:vAlign w:val="center"/>
          </w:tcPr>
          <w:p>
            <w:pPr>
              <w:jc w:val="center"/>
            </w:pPr>
            <w:r>
              <w:rPr>
                <w:rFonts w:hint="eastAsia" w:ascii="宋体" w:hAnsi="宋体" w:cs="宋体"/>
              </w:rPr>
              <w:t xml:space="preserve">s202301030103</w:t>
            </w:r>
          </w:p>
        </w:tc>
        <w:tc>
          <w:tcPr>
            <w:tcW w:w="1985" w:type="dxa"/>
            <w:vAlign w:val="center"/>
          </w:tcPr>
          <w:p>
            <w:pPr>
              <w:jc w:val="center"/>
            </w:pPr>
            <w:r>
              <w:rPr>
                <w:rFonts w:hint="eastAsia" w:ascii="宋体" w:hAnsi="宋体" w:cs="宋体"/>
              </w:rPr>
              <w:t xml:space="preserve">s202301044756</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美岸青城13幢104</w:t>
            </w:r>
          </w:p>
        </w:tc>
        <w:tc>
          <w:tcPr>
            <w:tcW w:w="1842" w:type="dxa"/>
            <w:vAlign w:val="center"/>
          </w:tcPr>
          <w:p>
            <w:pPr>
              <w:jc w:val="center"/>
            </w:pPr>
            <w:r>
              <w:rPr>
                <w:rFonts w:hint="eastAsia" w:ascii="宋体" w:hAnsi="宋体" w:cs="宋体"/>
              </w:rPr>
              <w:t xml:space="preserve">吴越岭秀6幢205</w:t>
            </w:r>
          </w:p>
        </w:tc>
        <w:tc>
          <w:tcPr>
            <w:tcW w:w="1843" w:type="dxa"/>
            <w:vAlign w:val="center"/>
          </w:tcPr>
          <w:p>
            <w:pPr>
              <w:jc w:val="center"/>
            </w:pPr>
            <w:r>
              <w:rPr>
                <w:rFonts w:hint="eastAsia" w:ascii="宋体" w:hAnsi="宋体" w:cs="宋体"/>
              </w:rPr>
              <w:t xml:space="preserve">九龙豪苑7幢504</w:t>
            </w:r>
          </w:p>
        </w:tc>
        <w:tc>
          <w:tcPr>
            <w:tcW w:w="1985" w:type="dxa"/>
            <w:vAlign w:val="center"/>
          </w:tcPr>
          <w:p>
            <w:pPr>
              <w:jc w:val="center"/>
            </w:pPr>
            <w:r>
              <w:rPr>
                <w:rFonts w:hint="eastAsia" w:ascii="宋体" w:hAnsi="宋体" w:cs="宋体"/>
              </w:rPr>
              <w:t xml:space="preserve">香江花园8幢304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2、估价可比实例实体状况照片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美岸青城13幢104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吴越岭秀6幢205</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九龙豪苑7幢504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香江花园8幢304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qFormat="1"/>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qFormat/>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pn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jpe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jpeg" /><Relationship Id="rId23" Type="http://schemas.openxmlformats.org/officeDocument/2006/relationships/image" Target="media/image19.jpeg" /><Relationship Id="rId24" Type="http://schemas.openxmlformats.org/officeDocument/2006/relationships/image" Target="media/image20.jpe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33</Pages>
  <Words>3183</Words>
  <Characters>18149</Characters>
  <Application>WPS Office WWO_base_provider_20221031101348-1857be321c</Application>
  <DocSecurity>0</DocSecurity>
  <Lines>151</Lines>
  <Paragraphs>42</Paragraphs>
  <Company>Www.RePaiK.Com</Company>
  <CharactersWithSpaces>21290</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孙 钰科</cp:lastModifiedBy>
  <cp:revision>1</cp:revision>
  <cp:lastPrinted>2020-03-31T10:20:00Z</cp:lastPrinted>
  <dcterms:created xsi:type="dcterms:W3CDTF">2023-05-06T09:44:00Z</dcterms:created>
  <dcterms:modified xsi:type="dcterms:W3CDTF">2023-11-14T11:05:31Z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