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苏吴地评评估字(2023)吴江第01027号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名城花园普通多层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估价对象位于苏州市吴江区区域范围内的名城花园住宅小区普通多层存量房。该小区内的物业类型包括：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月修订版），结合估价人员现场查勘，选取名城花园</w:t>
      </w:r>
      <w:r>
        <w:rPr>
          <w:rFonts w:ascii="宋体"/>
          <w:sz w:val="24"/>
        </w:rPr>
        <w:t xml:space="preserve">2幢103室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140.67</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壹万陆仟零柒拾陆元整</w:t>
      </w:r>
      <w:r>
        <w:rPr>
          <w:rFonts w:hint="eastAsia" w:ascii="宋体" w:hAnsi="宋体"/>
          <w:b/>
          <w:bCs/>
          <w:sz w:val="24"/>
        </w:rPr>
        <w:t xml:space="preserve">（RMB</w:t>
      </w:r>
      <w:r>
        <w:rPr>
          <w:rFonts w:ascii="宋体" w:hAnsi="宋体"/>
          <w:b/>
          <w:bCs/>
          <w:sz w:val="24"/>
        </w:rPr>
        <w:t xml:space="preserve"> 16076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5.本报告作为整体使用时有效。若房地产市场无重大波动，本估价报告自出具日起一年内有效，从2023年11月30日至</w:t>
      </w:r>
      <w:r>
        <w:rPr>
          <w:rFonts w:ascii="宋体" w:hAnsi="宋体"/>
          <w:sz w:val="24"/>
        </w:rPr>
        <w:t xml:space="preserve">2024年11月29日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估价对象为名城花园</w:t>
      </w:r>
      <w:r>
        <w:rPr>
          <w:rFonts w:ascii="宋体" w:hAnsi="宋体"/>
          <w:sz w:val="24"/>
        </w:rPr>
        <w:t xml:space="preserve">2幢103室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鲈乡南路西侧</w:t>
      </w:r>
      <w:r>
        <w:rPr>
          <w:rFonts w:hint="eastAsia" w:hAnsi="宋体"/>
          <w:sz w:val="24"/>
        </w:rPr>
        <w:t xml:space="preserve">的“名城花园”住宅区内。</w:t>
      </w:r>
      <w:r>
        <w:rPr>
          <w:rFonts w:hint="eastAsia" w:ascii="宋体" w:hAnsi="宋体"/>
          <w:sz w:val="24"/>
        </w:rPr>
        <w:t xml:space="preserve">估价对象东至</w:t>
      </w:r>
      <w:r>
        <w:rPr>
          <w:rFonts w:ascii="宋体" w:hAnsi="宋体"/>
          <w:sz w:val="24"/>
          <w:szCs w:val="24"/>
        </w:rPr>
        <w:t xml:space="preserve">鲈乡南路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高新路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祁连路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体育路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140.67</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鲈乡南路西侧</w:t>
      </w:r>
      <w:r>
        <w:rPr>
          <w:rFonts w:hint="eastAsia" w:hAnsi="宋体"/>
          <w:sz w:val="24"/>
        </w:rPr>
        <w:t xml:space="preserve">的“名城花园”住宅区内。该小区内的物业类型包括：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名城花园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“名城花园”小区</w:t>
            </w:r>
            <w:r>
              <w:rPr>
                <w:rFonts w:ascii="Cambria" w:hAnsi="宋体" w:eastAsia="黑体" w:cs="Times New Roman" w:asciiTheme="majorHAnsi" w:cstheme="majorBidi"/>
                <w:sz w:val="15"/>
                <w:szCs w:val="15"/>
              </w:rPr>
              <w:t xml:space="preserve">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由于名城花园市场交易不活跃，片区内可选案例较少，因此选择的案例A，B，C，D，距离在3公里以外。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名城花园住宅2023年11月挂牌均价20081元/平方米，较年初持平。待评估二手房住宅近11个月（2023年01月-2023年11月）挂牌均价波动幅度较小，价格维持在20081元/平方米左右。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均价说明：名城花园小区物业类型包括：普通多层,房源均价为:20081元/平方米，包含毛坯价值以及附带装修价值。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该房屋为6层住宅楼的第1层，建于2005年，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140.67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壹万陆仟零柒拾陆元整</w:t>
      </w:r>
      <w:r>
        <w:rPr>
          <w:rFonts w:hint="eastAsia" w:ascii="宋体" w:hAnsi="宋体"/>
          <w:b/>
          <w:bCs/>
          <w:sz w:val="24"/>
        </w:rPr>
        <w:t xml:space="preserve">（RMB </w:t>
      </w:r>
      <w:r>
        <w:rPr>
          <w:rFonts w:ascii="宋体" w:hAnsi="宋体"/>
          <w:b/>
          <w:bCs/>
          <w:sz w:val="24"/>
        </w:rPr>
        <w:t xml:space="preserve">16076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226.14</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16076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2023年11月23日</w:t>
      </w:r>
      <w:r>
        <w:rPr>
          <w:rFonts w:hint="eastAsia" w:ascii="宋体"/>
          <w:sz w:val="24"/>
        </w:rPr>
        <w:t xml:space="preserve">至2023年11月30日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估价对象为苏州市吴江区“名城花园”住宅区内的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祁连路东侧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祁连路东侧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附近有705路、708路等多条公交线路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万惠超市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体育路农贸市场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实验小学附属幼儿园</w:t>
      </w:r>
      <w:r>
        <w:rPr>
          <w:rFonts w:hint="eastAsia" w:ascii="宋体" w:hAnsi="宋体" w:eastAsia="宋体" w:asciiTheme="minorEastAsia" w:hAnsiTheme="minorEastAsia" w:eastAsiaTheme="minorEastAsia"/>
          <w:sz w:val="24"/>
        </w:rPr>
        <w:t xml:space="preserve">、</w:t>
      </w:r>
      <w:r>
        <w:rPr>
          <w:rFonts w:hAnsi="宋体"/>
          <w:sz w:val="24"/>
        </w:rPr>
        <w:t xml:space="preserve">实验小学</w:t>
      </w:r>
      <w:r>
        <w:rPr>
          <w:rFonts w:hint="eastAsia" w:hAnsi="宋体"/>
          <w:sz w:val="24"/>
        </w:rPr>
        <w:t xml:space="preserve">、</w:t>
      </w:r>
      <w:r>
        <w:rPr>
          <w:rFonts w:hAnsi="宋体"/>
          <w:sz w:val="24"/>
        </w:rPr>
        <w:t xml:space="preserve">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鲈乡南路</w:t>
      </w:r>
      <w:r>
        <w:rPr>
          <w:rFonts w:hint="eastAsia" w:ascii="宋体" w:hAnsi="宋体"/>
          <w:sz w:val="24"/>
        </w:rPr>
        <w:t xml:space="preserve">，南至</w:t>
      </w:r>
      <w:r>
        <w:rPr>
          <w:rFonts w:ascii="宋体" w:hAnsi="宋体"/>
          <w:sz w:val="24"/>
        </w:rPr>
        <w:t xml:space="preserve">高新路</w:t>
      </w:r>
      <w:r>
        <w:rPr>
          <w:rFonts w:hint="eastAsia" w:ascii="宋体" w:hAnsi="宋体"/>
          <w:sz w:val="24"/>
        </w:rPr>
        <w:t xml:space="preserve">，西至</w:t>
      </w:r>
      <w:r>
        <w:rPr>
          <w:rFonts w:ascii="宋体" w:hAnsi="宋体"/>
          <w:sz w:val="24"/>
        </w:rPr>
        <w:t xml:space="preserve">祁连路</w:t>
      </w:r>
      <w:r>
        <w:rPr>
          <w:rFonts w:hint="eastAsia" w:ascii="宋体" w:hAnsi="宋体"/>
          <w:sz w:val="24"/>
        </w:rPr>
        <w:t xml:space="preserve">，北至</w:t>
      </w:r>
      <w:r>
        <w:rPr>
          <w:rFonts w:ascii="宋体" w:hAnsi="宋体"/>
          <w:sz w:val="24"/>
        </w:rPr>
        <w:t xml:space="preserve">体育路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估价对象为坐落于苏州市吴江区名城花园</w:t>
      </w:r>
      <w:r>
        <w:t xml:space="preserve"> </w:t>
      </w:r>
      <w:r>
        <w:rPr>
          <w:rFonts w:ascii="宋体" w:hAnsi="宋体"/>
          <w:kern w:val="2"/>
          <w:sz w:val="24"/>
        </w:rPr>
        <w:t xml:space="preserve">2幢103室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140.67</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估价对象建成于2005年，基础较为稳固，未见沉降；墙面、地面、门窗等保养完好，综合保养成新度为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名城花园住宅2023年11月挂牌均价20081元/平方米，较年初持平。待评估二手房住宅近11个月（2023年01月-2023年11月）挂牌均价波动幅度较小，价格维持在20081元/平方米左右。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苏州市吴江区名城花园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F32050920230001122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F32050920230004558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s202212220067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s202301131107</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吴江区松陵镇名城花园2幢103室普通多层住宅标准房基准价格评估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众盛阳光嘉园35幢504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众盛阳光嘉园68幢404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众盛阳光嘉园7幢502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笠泽路162号1幢301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140.67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110.65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88.36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16046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16810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15848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15505</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指数，吴江区2022年11月至2023年10月住宅月度价格指数表为：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2023年10月23日</w:t>
            </w:r>
          </w:p>
        </w:tc>
        <w:tc>
          <w:tcPr>
            <w:tcW w:w="778"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16046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16810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15848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15505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备注：在价值时点2023年11月23日</w:t>
      </w:r>
      <w:r>
        <w:rPr>
          <w:rFonts w:hint="eastAsia" w:ascii="宋体" w:hAnsi="宋体" w:cs="宋体"/>
          <w:sz w:val="24"/>
          <w:szCs w:val="24"/>
        </w:rPr>
        <w:t xml:space="preserve">，2023年11月份价格指数尚未公布，本次估价采用2023年10月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01816305"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吴江区松陵镇名城花园2幢103室普通多层住宅标准房基准价格评估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众盛阳光嘉园35幢504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众盛阳光嘉园68幢404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众盛阳光嘉园7幢502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笠泽路162号1幢301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140.67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110.65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88.36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16810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15848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15818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16376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16592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16046</w:t>
            </w:r>
          </w:p>
        </w:tc>
        <w:tc>
          <w:tcPr>
            <w:tcW w:w="922" w:type="pct"/>
            <w:shd w:val="clear" w:color="auto" w:fill="auto"/>
            <w:vAlign w:val="center"/>
          </w:tcPr>
          <w:p>
            <w:pPr>
              <w:jc w:val="center"/>
              <w:rPr>
                <w:rFonts w:ascii="宋体" w:hAnsi="宋体" w:cs="宋体"/>
              </w:rPr>
            </w:pPr>
            <w:r>
              <w:rPr>
                <w:rFonts w:hint="eastAsia" w:ascii="宋体" w:hAnsi="宋体" w:cs="宋体"/>
              </w:rPr>
              <w:t xml:space="preserve">16810</w:t>
            </w:r>
          </w:p>
        </w:tc>
        <w:tc>
          <w:tcPr>
            <w:tcW w:w="922" w:type="pct"/>
            <w:shd w:val="clear" w:color="auto" w:fill="auto"/>
            <w:vAlign w:val="center"/>
          </w:tcPr>
          <w:p>
            <w:pPr>
              <w:jc w:val="center"/>
              <w:rPr>
                <w:rFonts w:ascii="宋体" w:hAnsi="宋体" w:cs="宋体"/>
              </w:rPr>
            </w:pPr>
            <w:r>
              <w:rPr>
                <w:rFonts w:hint="eastAsia" w:ascii="宋体" w:hAnsi="宋体" w:cs="宋体"/>
              </w:rPr>
              <w:t xml:space="preserve">15848</w:t>
            </w:r>
          </w:p>
        </w:tc>
        <w:tc>
          <w:tcPr>
            <w:tcW w:w="922" w:type="pct"/>
            <w:shd w:val="clear" w:color="auto" w:fill="auto"/>
            <w:vAlign w:val="center"/>
          </w:tcPr>
          <w:p>
            <w:pPr>
              <w:jc w:val="center"/>
              <w:rPr>
                <w:rFonts w:ascii="宋体" w:hAnsi="宋体" w:cs="宋体"/>
              </w:rPr>
            </w:pPr>
            <w:r>
              <w:rPr>
                <w:rFonts w:hint="eastAsia" w:ascii="宋体" w:hAnsi="宋体" w:cs="宋体"/>
              </w:rPr>
              <w:t xml:space="preserve">15505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101/110.72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0.9858</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0.9791</w:t>
            </w:r>
          </w:p>
        </w:tc>
        <w:tc>
          <w:tcPr>
            <w:tcW w:w="922" w:type="pct"/>
            <w:shd w:val="clear" w:color="auto" w:fill="auto"/>
            <w:vAlign w:val="center"/>
          </w:tcPr>
          <w:p>
            <w:pPr>
              <w:jc w:val="center"/>
              <w:rPr>
                <w:rFonts w:ascii="宋体" w:hAnsi="宋体" w:cs="宋体"/>
              </w:rPr>
            </w:pPr>
            <w:r>
              <w:rPr>
                <w:rFonts w:hint="eastAsia" w:ascii="宋体" w:hAnsi="宋体" w:cs="宋体"/>
              </w:rPr>
              <w:t xml:space="preserve">1.0701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15818</w:t>
            </w:r>
          </w:p>
        </w:tc>
        <w:tc>
          <w:tcPr>
            <w:tcW w:w="922" w:type="pct"/>
            <w:shd w:val="clear" w:color="auto" w:fill="auto"/>
            <w:vAlign w:val="center"/>
          </w:tcPr>
          <w:p>
            <w:pPr>
              <w:jc w:val="center"/>
              <w:rPr>
                <w:rFonts w:ascii="宋体" w:hAnsi="宋体" w:cs="宋体"/>
              </w:rPr>
            </w:pPr>
            <w:r>
              <w:rPr>
                <w:rFonts w:hint="eastAsia" w:ascii="宋体" w:hAnsi="宋体" w:cs="宋体"/>
              </w:rPr>
              <w:t xml:space="preserve">16376</w:t>
            </w:r>
          </w:p>
        </w:tc>
        <w:tc>
          <w:tcPr>
            <w:tcW w:w="922" w:type="pct"/>
            <w:shd w:val="clear" w:color="auto" w:fill="auto"/>
            <w:vAlign w:val="center"/>
          </w:tcPr>
          <w:p>
            <w:pPr>
              <w:jc w:val="center"/>
              <w:rPr>
                <w:rFonts w:ascii="宋体" w:hAnsi="宋体" w:cs="宋体"/>
              </w:rPr>
            </w:pPr>
            <w:r>
              <w:rPr>
                <w:rFonts w:hint="eastAsia" w:ascii="宋体" w:hAnsi="宋体" w:cs="宋体"/>
              </w:rPr>
              <w:t xml:space="preserve">15517</w:t>
            </w:r>
          </w:p>
        </w:tc>
        <w:tc>
          <w:tcPr>
            <w:tcW w:w="922" w:type="pct"/>
            <w:shd w:val="clear" w:color="auto" w:fill="auto"/>
            <w:vAlign w:val="center"/>
          </w:tcPr>
          <w:p>
            <w:pPr>
              <w:jc w:val="center"/>
              <w:rPr>
                <w:rFonts w:ascii="宋体" w:hAnsi="宋体" w:cs="宋体"/>
              </w:rPr>
            </w:pPr>
            <w:r>
              <w:rPr>
                <w:rFonts w:hint="eastAsia" w:ascii="宋体" w:hAnsi="宋体" w:cs="宋体"/>
              </w:rPr>
              <w:t xml:space="preserve">16592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15818</w:t>
            </w:r>
          </w:p>
        </w:tc>
        <w:tc>
          <w:tcPr>
            <w:tcW w:w="922" w:type="pct"/>
            <w:shd w:val="clear" w:color="auto" w:fill="auto"/>
            <w:vAlign w:val="center"/>
          </w:tcPr>
          <w:p>
            <w:pPr>
              <w:jc w:val="center"/>
              <w:rPr>
                <w:rFonts w:ascii="宋体" w:hAnsi="宋体" w:cs="宋体"/>
              </w:rPr>
            </w:pPr>
            <w:r>
              <w:rPr>
                <w:rFonts w:hint="eastAsia" w:ascii="宋体" w:hAnsi="宋体" w:cs="宋体"/>
              </w:rPr>
              <w:t xml:space="preserve">16376</w:t>
            </w:r>
          </w:p>
        </w:tc>
        <w:tc>
          <w:tcPr>
            <w:tcW w:w="922" w:type="pct"/>
            <w:shd w:val="clear" w:color="auto" w:fill="auto"/>
            <w:vAlign w:val="center"/>
          </w:tcPr>
          <w:p>
            <w:pPr>
              <w:jc w:val="center"/>
              <w:rPr>
                <w:rFonts w:ascii="宋体" w:hAnsi="宋体" w:cs="宋体"/>
              </w:rPr>
            </w:pPr>
            <w:r>
              <w:rPr>
                <w:rFonts w:hint="eastAsia" w:ascii="宋体" w:hAnsi="宋体" w:cs="宋体"/>
              </w:rPr>
              <w:t xml:space="preserve">15517</w:t>
            </w:r>
          </w:p>
        </w:tc>
        <w:tc>
          <w:tcPr>
            <w:tcW w:w="922" w:type="pct"/>
            <w:shd w:val="clear" w:color="auto" w:fill="auto"/>
            <w:vAlign w:val="center"/>
          </w:tcPr>
          <w:p>
            <w:pPr>
              <w:jc w:val="center"/>
              <w:rPr>
                <w:rFonts w:ascii="宋体" w:hAnsi="宋体" w:cs="宋体"/>
              </w:rPr>
            </w:pPr>
            <w:r>
              <w:rPr>
                <w:rFonts w:hint="eastAsia" w:ascii="宋体" w:hAnsi="宋体" w:cs="宋体"/>
              </w:rPr>
              <w:t xml:space="preserve">16592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16076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F32050920230001122</w:t>
            </w:r>
          </w:p>
        </w:tc>
        <w:tc>
          <w:tcPr>
            <w:tcW w:w="1842" w:type="dxa"/>
            <w:vAlign w:val="center"/>
          </w:tcPr>
          <w:p>
            <w:pPr>
              <w:jc w:val="center"/>
            </w:pPr>
            <w:r>
              <w:rPr>
                <w:rFonts w:hint="eastAsia" w:ascii="宋体" w:hAnsi="宋体" w:cs="宋体"/>
              </w:rPr>
              <w:t xml:space="preserve">F32050920230004558</w:t>
            </w:r>
          </w:p>
        </w:tc>
        <w:tc>
          <w:tcPr>
            <w:tcW w:w="1843" w:type="dxa"/>
            <w:vAlign w:val="center"/>
          </w:tcPr>
          <w:p>
            <w:pPr>
              <w:jc w:val="center"/>
            </w:pPr>
            <w:r>
              <w:rPr>
                <w:rFonts w:hint="eastAsia" w:ascii="宋体" w:hAnsi="宋体" w:cs="宋体"/>
              </w:rPr>
              <w:t xml:space="preserve">s202212220067</w:t>
            </w:r>
          </w:p>
        </w:tc>
        <w:tc>
          <w:tcPr>
            <w:tcW w:w="1985" w:type="dxa"/>
            <w:vAlign w:val="center"/>
          </w:tcPr>
          <w:p>
            <w:pPr>
              <w:jc w:val="center"/>
            </w:pPr>
            <w:r>
              <w:rPr>
                <w:rFonts w:hint="eastAsia" w:ascii="宋体" w:hAnsi="宋体" w:cs="宋体"/>
              </w:rPr>
              <w:t xml:space="preserve">s202301131107</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众盛阳光嘉园35幢504</w:t>
            </w:r>
          </w:p>
        </w:tc>
        <w:tc>
          <w:tcPr>
            <w:tcW w:w="1842" w:type="dxa"/>
            <w:vAlign w:val="center"/>
          </w:tcPr>
          <w:p>
            <w:pPr>
              <w:jc w:val="center"/>
            </w:pPr>
            <w:r>
              <w:rPr>
                <w:rFonts w:hint="eastAsia" w:ascii="宋体" w:hAnsi="宋体" w:cs="宋体"/>
              </w:rPr>
              <w:t xml:space="preserve">众盛阳光嘉园68幢404</w:t>
            </w:r>
          </w:p>
        </w:tc>
        <w:tc>
          <w:tcPr>
            <w:tcW w:w="1843" w:type="dxa"/>
            <w:vAlign w:val="center"/>
          </w:tcPr>
          <w:p>
            <w:pPr>
              <w:jc w:val="center"/>
            </w:pPr>
            <w:r>
              <w:rPr>
                <w:rFonts w:hint="eastAsia" w:ascii="宋体" w:hAnsi="宋体" w:cs="宋体"/>
              </w:rPr>
              <w:t xml:space="preserve">众盛阳光嘉园7幢502</w:t>
            </w:r>
          </w:p>
        </w:tc>
        <w:tc>
          <w:tcPr>
            <w:tcW w:w="1985" w:type="dxa"/>
            <w:vAlign w:val="center"/>
          </w:tcPr>
          <w:p>
            <w:pPr>
              <w:jc w:val="center"/>
            </w:pPr>
            <w:r>
              <w:rPr>
                <w:rFonts w:hint="eastAsia" w:ascii="宋体" w:hAnsi="宋体" w:cs="宋体"/>
              </w:rPr>
              <w:t xml:space="preserve">笠泽路162号1幢301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众盛阳光嘉园35幢504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众盛阳光嘉园68幢404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众盛阳光嘉园7幢502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笠泽路162号1幢301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