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苏吴地评评估字(2023)吴江第01032号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廊桥水岸观邸联排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估价对象位于苏州市吴江区区域范围内的廊桥水岸观邸住宅小区联排存量房。该小区内的物业类型包括：</w:t>
      </w:r>
      <w:r>
        <w:rPr>
          <w:rFonts w:ascii="宋体"/>
          <w:sz w:val="24"/>
        </w:rPr>
        <w:t xml:space="preserve">电梯多层、小高层、高层、联排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月修订版），结合估价人员现场查勘，选取廊桥水岸观邸</w:t>
      </w:r>
      <w:r>
        <w:rPr>
          <w:rFonts w:ascii="宋体"/>
          <w:sz w:val="24"/>
        </w:rPr>
        <w:t xml:space="preserve">49号102室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295.42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2014</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2081年02月27日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贰万柒仟柒佰柒拾陆元整</w:t>
      </w:r>
      <w:r>
        <w:rPr>
          <w:rFonts w:hint="eastAsia" w:ascii="宋体" w:hAnsi="宋体"/>
          <w:b/>
          <w:bCs/>
          <w:sz w:val="24"/>
        </w:rPr>
        <w:t xml:space="preserve">（RMB</w:t>
      </w:r>
      <w:r>
        <w:rPr>
          <w:rFonts w:ascii="宋体" w:hAnsi="宋体"/>
          <w:b/>
          <w:bCs/>
          <w:sz w:val="24"/>
        </w:rPr>
        <w:t xml:space="preserve"> 27776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5.本报告作为整体使用时有效。若房地产市场无重大波动，本估价报告自出具日起一年内有效，从2023年11月30日至</w:t>
      </w:r>
      <w:r>
        <w:rPr>
          <w:rFonts w:ascii="宋体" w:hAnsi="宋体"/>
          <w:sz w:val="24"/>
        </w:rPr>
        <w:t xml:space="preserve">2024年11月29日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估价对象为廊桥水岸观邸</w:t>
      </w:r>
      <w:r>
        <w:rPr>
          <w:rFonts w:ascii="宋体" w:hAnsi="宋体"/>
          <w:sz w:val="24"/>
        </w:rPr>
        <w:t xml:space="preserve">49号102室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中山南路西侧</w:t>
      </w:r>
      <w:r>
        <w:rPr>
          <w:rFonts w:hint="eastAsia" w:hAnsi="宋体"/>
          <w:sz w:val="24"/>
        </w:rPr>
        <w:t xml:space="preserve">的“廊桥水岸观邸”住宅区内。</w:t>
      </w:r>
      <w:r>
        <w:rPr>
          <w:rFonts w:hint="eastAsia" w:ascii="宋体" w:hAnsi="宋体"/>
          <w:sz w:val="24"/>
        </w:rPr>
        <w:t xml:space="preserve">估价对象东至</w:t>
      </w:r>
      <w:r>
        <w:rPr>
          <w:rFonts w:ascii="宋体" w:hAnsi="宋体"/>
          <w:sz w:val="24"/>
          <w:szCs w:val="24"/>
        </w:rPr>
        <w:t xml:space="preserve">中山南路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江村路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鲈乡南路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庞杨路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295.42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中山南路西侧</w:t>
      </w:r>
      <w:r>
        <w:rPr>
          <w:rFonts w:hint="eastAsia" w:hAnsi="宋体"/>
          <w:sz w:val="24"/>
        </w:rPr>
        <w:t xml:space="preserve">的“廊桥水岸观邸”住宅区内。该小区内的物业类型包括：</w:t>
      </w:r>
      <w:r>
        <w:rPr>
          <w:rFonts w:hAnsi="宋体"/>
          <w:sz w:val="24"/>
        </w:rPr>
        <w:t xml:space="preserve">电梯多层、小高层、高层、联排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廊桥水岸观邸</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“廊桥水岸观邸”小区</w:t>
            </w:r>
            <w:r>
              <w:rPr>
                <w:rFonts w:ascii="Cambria" w:hAnsi="宋体" w:eastAsia="黑体" w:cs="Times New Roman" w:asciiTheme="majorHAnsi" w:cstheme="majorBidi"/>
                <w:sz w:val="15"/>
                <w:szCs w:val="15"/>
              </w:rPr>
              <w:t xml:space="preserve">49号</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由于廊桥水岸观邸市场交易不活跃，片区内可选案例较少，因此选择的案例C，D，距离在3公里以外。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廊桥水岸观邸住宅2023年11月挂牌均价43784元/平方米，较年初持平。待评估二手房住宅近12个月（2022年12月-2023年11月）挂牌均价波动幅度较小，价格维持在41231-43784元/平方米之间。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均价说明：廊桥水岸观邸小区物业类型包括：电梯多层、小高层、高层、联排,房源均价为:43784元/平方米，包含毛坯价值以及附带装修价值。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该房屋为3层住宅楼的第1-3层，建于2014年，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295.42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2081年02月27日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贰万柒仟柒佰柒拾陆元整</w:t>
      </w:r>
      <w:r>
        <w:rPr>
          <w:rFonts w:hint="eastAsia" w:ascii="宋体" w:hAnsi="宋体"/>
          <w:b/>
          <w:bCs/>
          <w:sz w:val="24"/>
        </w:rPr>
        <w:t xml:space="preserve">（RMB </w:t>
      </w:r>
      <w:r>
        <w:rPr>
          <w:rFonts w:ascii="宋体" w:hAnsi="宋体"/>
          <w:b/>
          <w:bCs/>
          <w:sz w:val="24"/>
        </w:rPr>
        <w:t xml:space="preserve">27776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820.54</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27776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2023年11月23日</w:t>
      </w:r>
      <w:r>
        <w:rPr>
          <w:rFonts w:hint="eastAsia" w:ascii="宋体"/>
          <w:sz w:val="24"/>
        </w:rPr>
        <w:t xml:space="preserve">至2023年11月30日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估价对象为苏州市吴江区“廊桥水岸观邸”住宅区内的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江村路北侧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江村路北侧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附近有712路、720路等多条公交线路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中国交通银行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吴江青禾幼儿园</w:t>
      </w:r>
      <w:r>
        <w:rPr>
          <w:rFonts w:hint="eastAsia" w:ascii="宋体" w:hAnsi="宋体" w:eastAsia="宋体" w:asciiTheme="minorEastAsia" w:hAnsiTheme="minorEastAsia" w:eastAsiaTheme="minorEastAsia"/>
          <w:sz w:val="24"/>
        </w:rPr>
        <w:t xml:space="preserve">、</w:t>
      </w:r>
      <w:r>
        <w:rPr>
          <w:rFonts w:hAnsi="宋体"/>
          <w:sz w:val="24"/>
        </w:rPr>
        <w:t xml:space="preserve">思贤实验小学</w:t>
      </w:r>
      <w:r>
        <w:rPr>
          <w:rFonts w:hint="eastAsia" w:hAnsi="宋体"/>
          <w:sz w:val="24"/>
        </w:rPr>
        <w:t xml:space="preserve">、</w:t>
      </w:r>
      <w:r>
        <w:rPr>
          <w:rFonts w:hAnsi="宋体"/>
          <w:sz w:val="24"/>
        </w:rPr>
        <w:t xml:space="preserve">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2081年02月27日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中山南路</w:t>
      </w:r>
      <w:r>
        <w:rPr>
          <w:rFonts w:hint="eastAsia" w:ascii="宋体" w:hAnsi="宋体"/>
          <w:sz w:val="24"/>
        </w:rPr>
        <w:t xml:space="preserve">，南至</w:t>
      </w:r>
      <w:r>
        <w:rPr>
          <w:rFonts w:ascii="宋体" w:hAnsi="宋体"/>
          <w:sz w:val="24"/>
        </w:rPr>
        <w:t xml:space="preserve">江村路</w:t>
      </w:r>
      <w:r>
        <w:rPr>
          <w:rFonts w:hint="eastAsia" w:ascii="宋体" w:hAnsi="宋体"/>
          <w:sz w:val="24"/>
        </w:rPr>
        <w:t xml:space="preserve">，西至</w:t>
      </w:r>
      <w:r>
        <w:rPr>
          <w:rFonts w:ascii="宋体" w:hAnsi="宋体"/>
          <w:sz w:val="24"/>
        </w:rPr>
        <w:t xml:space="preserve">鲈乡南路</w:t>
      </w:r>
      <w:r>
        <w:rPr>
          <w:rFonts w:hint="eastAsia" w:ascii="宋体" w:hAnsi="宋体"/>
          <w:sz w:val="24"/>
        </w:rPr>
        <w:t xml:space="preserve">，北至</w:t>
      </w:r>
      <w:r>
        <w:rPr>
          <w:rFonts w:ascii="宋体" w:hAnsi="宋体"/>
          <w:sz w:val="24"/>
        </w:rPr>
        <w:t xml:space="preserve">庞杨路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估价对象为坐落于苏州市吴江区廊桥水岸观邸</w:t>
      </w:r>
      <w:r>
        <w:t xml:space="preserve"> </w:t>
      </w:r>
      <w:r>
        <w:rPr>
          <w:rFonts w:ascii="宋体" w:hAnsi="宋体"/>
          <w:kern w:val="2"/>
          <w:sz w:val="24"/>
        </w:rPr>
        <w:t xml:space="preserve">49号102室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295.42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估价对象建成于2014年，基础较为稳固，未见沉降；墙面、地面、门窗等保养完好，综合保养成新度为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廊桥水岸观邸住宅2023年11月挂牌均价43784元/平方米，较年初持平。待评估二手房住宅近12个月（2022年12月-2023年11月）挂牌均价波动幅度较小，价格维持在41231-43784元/平方米之间。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苏州市吴江区廊桥水岸观邸</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s202212220216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F32050920220001033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s202302060108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w202301100010</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吴江区松陵镇廊桥水岸观邸49号102室联排住宅标准房基准价格评估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廊桥水岸观邸141幢103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奥林清华世纪公元66幢105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太阳湖大花园钻石湾别墅290幢103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中粮本源523幢</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295.42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348.22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338.57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371.21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494.66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26842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26895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26894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26281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指数，吴江区2022年11月至2023年10月住宅月度价格指数表为：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2023年10月23日</w:t>
            </w:r>
          </w:p>
        </w:tc>
        <w:tc>
          <w:tcPr>
            <w:tcW w:w="778" w:type="pct"/>
            <w:shd w:val="clear" w:color="auto" w:fill="FFFFFF"/>
            <w:vAlign w:val="center"/>
          </w:tcPr>
          <w:p>
            <w:pPr>
              <w:jc w:val="center"/>
            </w:pPr>
            <w:r>
              <w:rPr>
                <w:rFonts w:hint="eastAsia" w:ascii="宋体" w:hAnsi="宋体" w:cs="宋体"/>
              </w:rPr>
              <w:t xml:space="preserve">2022年12月</w:t>
            </w:r>
          </w:p>
        </w:tc>
        <w:tc>
          <w:tcPr>
            <w:tcW w:w="779" w:type="pct"/>
            <w:shd w:val="clear" w:color="auto" w:fill="FFFFFF"/>
            <w:vAlign w:val="center"/>
          </w:tcPr>
          <w:p>
            <w:pPr>
              <w:jc w:val="center"/>
            </w:pPr>
            <w:r>
              <w:rPr>
                <w:rFonts w:hint="eastAsia" w:ascii="宋体" w:hAnsi="宋体" w:cs="宋体"/>
              </w:rPr>
              <w:t xml:space="preserve">2022年12月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26842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26895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26894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26281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1935</w:t>
            </w:r>
          </w:p>
        </w:tc>
        <w:tc>
          <w:tcPr>
            <w:tcW w:w="779" w:type="pct"/>
            <w:shd w:val="clear" w:color="auto" w:fill="FFFFFF"/>
            <w:vAlign w:val="center"/>
          </w:tcPr>
          <w:p>
            <w:pPr>
              <w:jc w:val="center"/>
            </w:pPr>
            <w:r>
              <w:rPr>
                <w:rFonts w:hint="eastAsia" w:ascii="宋体" w:hAnsi="宋体" w:cs="宋体"/>
              </w:rPr>
              <w:t xml:space="preserve">1935</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1.057</w:t>
            </w:r>
          </w:p>
        </w:tc>
        <w:tc>
          <w:tcPr>
            <w:tcW w:w="779" w:type="pct"/>
            <w:shd w:val="clear" w:color="auto" w:fill="FFFFFF"/>
            <w:vAlign w:val="center"/>
          </w:tcPr>
          <w:p>
            <w:pPr>
              <w:jc w:val="center"/>
            </w:pPr>
            <w:r>
              <w:rPr>
                <w:rFonts w:hint="eastAsia" w:ascii="宋体" w:hAnsi="宋体" w:cs="宋体"/>
              </w:rPr>
              <w:t xml:space="preserve">1.057</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1.057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备注：在价值时点2023年11月23日</w:t>
      </w:r>
      <w:r>
        <w:rPr>
          <w:rFonts w:hint="eastAsia" w:ascii="宋体" w:hAnsi="宋体" w:cs="宋体"/>
          <w:sz w:val="24"/>
          <w:szCs w:val="24"/>
        </w:rPr>
        <w:t xml:space="preserve">，2023年11月份价格指数尚未公布，本次估价采用2023年10月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05360961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吴江区松陵镇廊桥水岸观邸49号102室联排住宅标准房基准价格评估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廊桥水岸观邸141幢103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奥林清华世纪公元66幢105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太阳湖大花园钻石湾别墅290幢103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中粮本源523幢</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295.42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348.22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338.57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371.21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494.66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1.0267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26842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26895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26894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26281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28372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28285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27462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26983</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26842</w:t>
            </w:r>
          </w:p>
        </w:tc>
        <w:tc>
          <w:tcPr>
            <w:tcW w:w="922" w:type="pct"/>
            <w:shd w:val="clear" w:color="auto" w:fill="auto"/>
            <w:vAlign w:val="center"/>
          </w:tcPr>
          <w:p>
            <w:pPr>
              <w:jc w:val="center"/>
              <w:rPr>
                <w:rFonts w:ascii="宋体" w:hAnsi="宋体" w:cs="宋体"/>
              </w:rPr>
            </w:pPr>
            <w:r>
              <w:rPr>
                <w:rFonts w:hint="eastAsia" w:ascii="宋体" w:hAnsi="宋体" w:cs="宋体"/>
              </w:rPr>
              <w:t xml:space="preserve">26895</w:t>
            </w:r>
          </w:p>
        </w:tc>
        <w:tc>
          <w:tcPr>
            <w:tcW w:w="922" w:type="pct"/>
            <w:shd w:val="clear" w:color="auto" w:fill="auto"/>
            <w:vAlign w:val="center"/>
          </w:tcPr>
          <w:p>
            <w:pPr>
              <w:jc w:val="center"/>
              <w:rPr>
                <w:rFonts w:ascii="宋体" w:hAnsi="宋体" w:cs="宋体"/>
              </w:rPr>
            </w:pPr>
            <w:r>
              <w:rPr>
                <w:rFonts w:hint="eastAsia" w:ascii="宋体" w:hAnsi="宋体" w:cs="宋体"/>
              </w:rPr>
              <w:t xml:space="preserve">26894</w:t>
            </w:r>
          </w:p>
        </w:tc>
        <w:tc>
          <w:tcPr>
            <w:tcW w:w="922" w:type="pct"/>
            <w:shd w:val="clear" w:color="auto" w:fill="auto"/>
            <w:vAlign w:val="center"/>
          </w:tcPr>
          <w:p>
            <w:pPr>
              <w:jc w:val="center"/>
              <w:rPr>
                <w:rFonts w:ascii="宋体" w:hAnsi="宋体" w:cs="宋体"/>
              </w:rPr>
            </w:pPr>
            <w:r>
              <w:rPr>
                <w:rFonts w:hint="eastAsia" w:ascii="宋体" w:hAnsi="宋体" w:cs="宋体"/>
              </w:rPr>
              <w:t xml:space="preserve">26281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1.0267</w:t>
            </w:r>
          </w:p>
        </w:tc>
        <w:tc>
          <w:tcPr>
            <w:tcW w:w="922" w:type="pct"/>
            <w:shd w:val="clear" w:color="auto" w:fill="auto"/>
            <w:vAlign w:val="center"/>
          </w:tcPr>
          <w:p>
            <w:pPr>
              <w:jc w:val="center"/>
              <w:rPr>
                <w:rFonts w:ascii="宋体" w:hAnsi="宋体" w:cs="宋体"/>
              </w:rPr>
            </w:pPr>
            <w:r>
              <w:rPr>
                <w:rFonts w:hint="eastAsia" w:ascii="宋体" w:hAnsi="宋体" w:cs="宋体"/>
              </w:rPr>
              <w:t xml:space="preserve">1.0267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28372</w:t>
            </w:r>
          </w:p>
        </w:tc>
        <w:tc>
          <w:tcPr>
            <w:tcW w:w="922" w:type="pct"/>
            <w:shd w:val="clear" w:color="auto" w:fill="auto"/>
            <w:vAlign w:val="center"/>
          </w:tcPr>
          <w:p>
            <w:pPr>
              <w:jc w:val="center"/>
              <w:rPr>
                <w:rFonts w:ascii="宋体" w:hAnsi="宋体" w:cs="宋体"/>
              </w:rPr>
            </w:pPr>
            <w:r>
              <w:rPr>
                <w:rFonts w:hint="eastAsia" w:ascii="宋体" w:hAnsi="宋体" w:cs="宋体"/>
              </w:rPr>
              <w:t xml:space="preserve">28285</w:t>
            </w:r>
          </w:p>
        </w:tc>
        <w:tc>
          <w:tcPr>
            <w:tcW w:w="922" w:type="pct"/>
            <w:shd w:val="clear" w:color="auto" w:fill="auto"/>
            <w:vAlign w:val="center"/>
          </w:tcPr>
          <w:p>
            <w:pPr>
              <w:jc w:val="center"/>
              <w:rPr>
                <w:rFonts w:ascii="宋体" w:hAnsi="宋体" w:cs="宋体"/>
              </w:rPr>
            </w:pPr>
            <w:r>
              <w:rPr>
                <w:rFonts w:hint="eastAsia" w:ascii="宋体" w:hAnsi="宋体" w:cs="宋体"/>
              </w:rPr>
              <w:t xml:space="preserve">27612</w:t>
            </w:r>
          </w:p>
        </w:tc>
        <w:tc>
          <w:tcPr>
            <w:tcW w:w="922" w:type="pct"/>
            <w:shd w:val="clear" w:color="auto" w:fill="auto"/>
            <w:vAlign w:val="center"/>
          </w:tcPr>
          <w:p>
            <w:pPr>
              <w:jc w:val="center"/>
              <w:rPr>
                <w:rFonts w:ascii="宋体" w:hAnsi="宋体" w:cs="宋体"/>
              </w:rPr>
            </w:pPr>
            <w:r>
              <w:rPr>
                <w:rFonts w:hint="eastAsia" w:ascii="宋体" w:hAnsi="宋体" w:cs="宋体"/>
              </w:rPr>
              <w:t xml:space="preserve">26983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150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28372</w:t>
            </w:r>
          </w:p>
        </w:tc>
        <w:tc>
          <w:tcPr>
            <w:tcW w:w="922" w:type="pct"/>
            <w:shd w:val="clear" w:color="auto" w:fill="auto"/>
            <w:vAlign w:val="center"/>
          </w:tcPr>
          <w:p>
            <w:pPr>
              <w:jc w:val="center"/>
              <w:rPr>
                <w:rFonts w:ascii="宋体" w:hAnsi="宋体" w:cs="宋体"/>
              </w:rPr>
            </w:pPr>
            <w:r>
              <w:rPr>
                <w:rFonts w:hint="eastAsia" w:ascii="宋体" w:hAnsi="宋体" w:cs="宋体"/>
              </w:rPr>
              <w:t xml:space="preserve">28285</w:t>
            </w:r>
          </w:p>
        </w:tc>
        <w:tc>
          <w:tcPr>
            <w:tcW w:w="922" w:type="pct"/>
            <w:shd w:val="clear" w:color="auto" w:fill="auto"/>
            <w:vAlign w:val="center"/>
          </w:tcPr>
          <w:p>
            <w:pPr>
              <w:jc w:val="center"/>
              <w:rPr>
                <w:rFonts w:ascii="宋体" w:hAnsi="宋体" w:cs="宋体"/>
              </w:rPr>
            </w:pPr>
            <w:r>
              <w:rPr>
                <w:rFonts w:hint="eastAsia" w:ascii="宋体" w:hAnsi="宋体" w:cs="宋体"/>
              </w:rPr>
              <w:t xml:space="preserve">27462</w:t>
            </w:r>
          </w:p>
        </w:tc>
        <w:tc>
          <w:tcPr>
            <w:tcW w:w="922" w:type="pct"/>
            <w:shd w:val="clear" w:color="auto" w:fill="auto"/>
            <w:vAlign w:val="center"/>
          </w:tcPr>
          <w:p>
            <w:pPr>
              <w:jc w:val="center"/>
              <w:rPr>
                <w:rFonts w:ascii="宋体" w:hAnsi="宋体" w:cs="宋体"/>
              </w:rPr>
            </w:pPr>
            <w:r>
              <w:rPr>
                <w:rFonts w:hint="eastAsia" w:ascii="宋体" w:hAnsi="宋体" w:cs="宋体"/>
              </w:rPr>
              <w:t xml:space="preserve">26983</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27776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s202212220216</w:t>
            </w:r>
          </w:p>
        </w:tc>
        <w:tc>
          <w:tcPr>
            <w:tcW w:w="1842" w:type="dxa"/>
            <w:vAlign w:val="center"/>
          </w:tcPr>
          <w:p>
            <w:pPr>
              <w:jc w:val="center"/>
            </w:pPr>
            <w:r>
              <w:rPr>
                <w:rFonts w:hint="eastAsia" w:ascii="宋体" w:hAnsi="宋体" w:cs="宋体"/>
              </w:rPr>
              <w:t xml:space="preserve">F32050920220001033</w:t>
            </w:r>
          </w:p>
        </w:tc>
        <w:tc>
          <w:tcPr>
            <w:tcW w:w="1843" w:type="dxa"/>
            <w:vAlign w:val="center"/>
          </w:tcPr>
          <w:p>
            <w:pPr>
              <w:jc w:val="center"/>
            </w:pPr>
            <w:r>
              <w:rPr>
                <w:rFonts w:hint="eastAsia" w:ascii="宋体" w:hAnsi="宋体" w:cs="宋体"/>
              </w:rPr>
              <w:t xml:space="preserve">s202302060108</w:t>
            </w:r>
          </w:p>
        </w:tc>
        <w:tc>
          <w:tcPr>
            <w:tcW w:w="1985" w:type="dxa"/>
            <w:vAlign w:val="center"/>
          </w:tcPr>
          <w:p>
            <w:pPr>
              <w:jc w:val="center"/>
            </w:pPr>
            <w:r>
              <w:rPr>
                <w:rFonts w:hint="eastAsia" w:ascii="宋体" w:hAnsi="宋体" w:cs="宋体"/>
              </w:rPr>
              <w:t xml:space="preserve">w202301100010</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廊桥水岸观邸141幢103</w:t>
            </w:r>
          </w:p>
        </w:tc>
        <w:tc>
          <w:tcPr>
            <w:tcW w:w="1842" w:type="dxa"/>
            <w:vAlign w:val="center"/>
          </w:tcPr>
          <w:p>
            <w:pPr>
              <w:jc w:val="center"/>
            </w:pPr>
            <w:r>
              <w:rPr>
                <w:rFonts w:hint="eastAsia" w:ascii="宋体" w:hAnsi="宋体" w:cs="宋体"/>
              </w:rPr>
              <w:t xml:space="preserve">奥林清华世纪公元66幢105</w:t>
            </w:r>
          </w:p>
        </w:tc>
        <w:tc>
          <w:tcPr>
            <w:tcW w:w="1843" w:type="dxa"/>
            <w:vAlign w:val="center"/>
          </w:tcPr>
          <w:p>
            <w:pPr>
              <w:jc w:val="center"/>
            </w:pPr>
            <w:r>
              <w:rPr>
                <w:rFonts w:hint="eastAsia" w:ascii="宋体" w:hAnsi="宋体" w:cs="宋体"/>
              </w:rPr>
              <w:t xml:space="preserve">太阳湖大花园钻石湾别墅290幢103</w:t>
            </w:r>
          </w:p>
        </w:tc>
        <w:tc>
          <w:tcPr>
            <w:tcW w:w="1985" w:type="dxa"/>
            <w:vAlign w:val="center"/>
          </w:tcPr>
          <w:p>
            <w:pPr>
              <w:jc w:val="center"/>
            </w:pPr>
            <w:r>
              <w:rPr>
                <w:rFonts w:hint="eastAsia" w:ascii="宋体" w:hAnsi="宋体" w:cs="宋体"/>
              </w:rPr>
              <w:t xml:space="preserve">中粮本源523幢</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廊桥水岸观邸141幢103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奥林清华世纪公元66幢105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太阳湖大花园钻石湾别墅290幢103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中粮本源523幢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